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E2" w:rsidRPr="008E7BE2" w:rsidRDefault="008E7BE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sidRPr="008E7BE2">
        <w:rPr>
          <w:rFonts w:ascii="Arial" w:eastAsia="宋体" w:hAnsi="Arial" w:cs="Arial"/>
          <w:b/>
          <w:bCs/>
          <w:noProof/>
          <w:kern w:val="0"/>
          <w:sz w:val="24"/>
          <w:szCs w:val="24"/>
          <w:lang w:val="en-GB" w:eastAsia="en-US"/>
        </w:rPr>
        <w:t>3GPP TSG RAN WG1 Meeting</w:t>
      </w:r>
      <w:r w:rsidR="00324AA2">
        <w:rPr>
          <w:rFonts w:ascii="Arial" w:eastAsia="宋体" w:hAnsi="Arial" w:cs="Arial"/>
          <w:b/>
          <w:bCs/>
          <w:noProof/>
          <w:kern w:val="0"/>
          <w:sz w:val="24"/>
          <w:szCs w:val="24"/>
          <w:lang w:val="en-GB" w:eastAsia="en-US"/>
        </w:rPr>
        <w:t xml:space="preserve"> #9</w:t>
      </w:r>
      <w:r w:rsidR="00324AA2">
        <w:rPr>
          <w:rFonts w:ascii="Arial" w:eastAsia="宋体" w:hAnsi="Arial" w:cs="Arial" w:hint="eastAsia"/>
          <w:b/>
          <w:bCs/>
          <w:noProof/>
          <w:kern w:val="0"/>
          <w:sz w:val="24"/>
          <w:szCs w:val="24"/>
          <w:lang w:val="en-GB"/>
        </w:rPr>
        <w:t>5</w:t>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sidR="0063211A">
        <w:rPr>
          <w:rFonts w:ascii="Arial" w:eastAsia="宋体" w:hAnsi="Arial" w:cs="Arial"/>
          <w:b/>
          <w:bCs/>
          <w:noProof/>
          <w:kern w:val="0"/>
          <w:sz w:val="24"/>
          <w:szCs w:val="24"/>
          <w:lang w:val="en-GB" w:eastAsia="en-US"/>
        </w:rPr>
        <w:t>R1-1812654</w:t>
      </w:r>
    </w:p>
    <w:p w:rsidR="008E7BE2" w:rsidRDefault="00324AA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Pr>
          <w:rFonts w:ascii="Arial" w:eastAsia="宋体" w:hAnsi="Arial" w:cs="Arial"/>
          <w:b/>
          <w:bCs/>
          <w:noProof/>
          <w:kern w:val="0"/>
          <w:sz w:val="24"/>
          <w:szCs w:val="24"/>
          <w:lang w:val="en-GB" w:eastAsia="en-US"/>
        </w:rPr>
        <w:t>Spokane, USA,</w:t>
      </w:r>
      <w:r w:rsidR="008E7BE2" w:rsidRPr="008E7BE2">
        <w:rPr>
          <w:rFonts w:ascii="Arial" w:eastAsia="宋体" w:hAnsi="Arial" w:cs="Arial"/>
          <w:b/>
          <w:bCs/>
          <w:noProof/>
          <w:kern w:val="0"/>
          <w:sz w:val="24"/>
          <w:szCs w:val="24"/>
          <w:lang w:val="en-GB" w:eastAsia="en-US"/>
        </w:rPr>
        <w:t xml:space="preserve"> </w:t>
      </w:r>
      <w:r>
        <w:rPr>
          <w:rFonts w:ascii="Arial" w:eastAsia="宋体" w:hAnsi="Arial" w:cs="Arial"/>
          <w:b/>
          <w:bCs/>
          <w:noProof/>
          <w:kern w:val="0"/>
          <w:sz w:val="24"/>
          <w:szCs w:val="24"/>
          <w:lang w:val="en-GB" w:eastAsia="en-US"/>
        </w:rPr>
        <w:t>November</w:t>
      </w:r>
      <w:r w:rsidR="008E7BE2" w:rsidRPr="008E7BE2">
        <w:rPr>
          <w:rFonts w:ascii="Arial" w:eastAsia="宋体" w:hAnsi="Arial" w:cs="Arial"/>
          <w:b/>
          <w:bCs/>
          <w:noProof/>
          <w:kern w:val="0"/>
          <w:sz w:val="24"/>
          <w:szCs w:val="24"/>
          <w:lang w:val="en-GB" w:eastAsia="en-US"/>
        </w:rPr>
        <w:t xml:space="preserve"> </w:t>
      </w:r>
      <w:r>
        <w:rPr>
          <w:rFonts w:ascii="Arial" w:eastAsia="宋体" w:hAnsi="Arial" w:cs="Arial"/>
          <w:b/>
          <w:bCs/>
          <w:noProof/>
          <w:kern w:val="0"/>
          <w:sz w:val="24"/>
          <w:szCs w:val="24"/>
          <w:lang w:val="en-GB" w:eastAsia="en-US"/>
        </w:rPr>
        <w:t>12</w:t>
      </w:r>
      <w:r w:rsidR="008E7BE2" w:rsidRPr="008E7BE2">
        <w:rPr>
          <w:rFonts w:ascii="Arial" w:eastAsia="宋体" w:hAnsi="Arial" w:cs="Arial"/>
          <w:b/>
          <w:bCs/>
          <w:noProof/>
          <w:kern w:val="0"/>
          <w:sz w:val="24"/>
          <w:szCs w:val="24"/>
          <w:vertAlign w:val="superscript"/>
          <w:lang w:val="en-GB" w:eastAsia="en-US"/>
        </w:rPr>
        <w:t>th</w:t>
      </w:r>
      <w:r w:rsidR="008E7BE2" w:rsidRPr="008E7BE2">
        <w:rPr>
          <w:rFonts w:ascii="Arial" w:eastAsia="宋体" w:hAnsi="Arial" w:cs="Arial"/>
          <w:b/>
          <w:bCs/>
          <w:noProof/>
          <w:kern w:val="0"/>
          <w:sz w:val="24"/>
          <w:szCs w:val="24"/>
          <w:lang w:val="en-GB" w:eastAsia="en-US"/>
        </w:rPr>
        <w:t xml:space="preserve"> – </w:t>
      </w:r>
      <w:r>
        <w:rPr>
          <w:rFonts w:ascii="Arial" w:eastAsia="宋体" w:hAnsi="Arial" w:cs="Arial"/>
          <w:b/>
          <w:bCs/>
          <w:noProof/>
          <w:kern w:val="0"/>
          <w:sz w:val="24"/>
          <w:szCs w:val="24"/>
          <w:lang w:val="en-GB" w:eastAsia="en-US"/>
        </w:rPr>
        <w:t>16</w:t>
      </w:r>
      <w:r w:rsidR="008E7BE2" w:rsidRPr="008E7BE2">
        <w:rPr>
          <w:rFonts w:ascii="Arial" w:eastAsia="宋体" w:hAnsi="Arial" w:cs="Arial"/>
          <w:b/>
          <w:bCs/>
          <w:noProof/>
          <w:kern w:val="0"/>
          <w:sz w:val="24"/>
          <w:szCs w:val="24"/>
          <w:vertAlign w:val="superscript"/>
          <w:lang w:val="en-GB" w:eastAsia="en-US"/>
        </w:rPr>
        <w:t>th</w:t>
      </w:r>
      <w:r w:rsidR="008E7BE2" w:rsidRPr="008E7BE2">
        <w:rPr>
          <w:rFonts w:ascii="Arial" w:eastAsia="宋体" w:hAnsi="Arial" w:cs="Arial"/>
          <w:b/>
          <w:bCs/>
          <w:noProof/>
          <w:kern w:val="0"/>
          <w:sz w:val="24"/>
          <w:szCs w:val="24"/>
          <w:lang w:val="en-GB" w:eastAsia="en-US"/>
        </w:rPr>
        <w:t>, 2018</w:t>
      </w:r>
      <w:r>
        <w:rPr>
          <w:rFonts w:ascii="Arial" w:eastAsia="宋体" w:hAnsi="Arial" w:cs="Arial"/>
          <w:b/>
          <w:bCs/>
          <w:noProof/>
          <w:kern w:val="0"/>
          <w:sz w:val="24"/>
          <w:szCs w:val="24"/>
          <w:lang w:val="en-GB" w:eastAsia="en-US"/>
        </w:rPr>
        <w:t xml:space="preserve"> </w:t>
      </w:r>
      <w:bookmarkStart w:id="0" w:name="_GoBack"/>
      <w:bookmarkEnd w:id="0"/>
    </w:p>
    <w:p w:rsidR="002B7200" w:rsidRPr="00FA18F9" w:rsidRDefault="002B7200" w:rsidP="00542629">
      <w:pPr>
        <w:widowControl/>
        <w:tabs>
          <w:tab w:val="left" w:pos="1985"/>
        </w:tabs>
        <w:spacing w:afterLines="50" w:after="156" w:line="280" w:lineRule="exact"/>
        <w:rPr>
          <w:rFonts w:ascii="Arial" w:hAnsi="Arial" w:cs="Arial"/>
          <w:b/>
          <w:bCs/>
          <w:kern w:val="0"/>
          <w:sz w:val="24"/>
          <w:szCs w:val="24"/>
          <w:lang w:val="en-GB"/>
        </w:rPr>
      </w:pPr>
      <w:r>
        <w:rPr>
          <w:rFonts w:ascii="Arial" w:eastAsia="MS Mincho" w:hAnsi="Arial" w:cs="Arial"/>
          <w:b/>
          <w:kern w:val="0"/>
          <w:sz w:val="24"/>
          <w:szCs w:val="24"/>
          <w:lang w:val="en-GB" w:eastAsia="en-US"/>
        </w:rPr>
        <w:t>Source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Pr="00203CA7">
        <w:rPr>
          <w:rFonts w:ascii="Arial" w:eastAsia="MS Mincho" w:hAnsi="Arial" w:cs="Arial"/>
          <w:b/>
          <w:bCs/>
          <w:kern w:val="0"/>
          <w:sz w:val="24"/>
          <w:szCs w:val="24"/>
          <w:lang w:val="en-GB" w:eastAsia="en-US"/>
        </w:rPr>
        <w:t>NEC</w:t>
      </w:r>
    </w:p>
    <w:p w:rsidR="002B7200" w:rsidRPr="00185C51" w:rsidRDefault="002B7200" w:rsidP="009763A0">
      <w:pPr>
        <w:widowControl/>
        <w:overflowPunct w:val="0"/>
        <w:autoSpaceDE w:val="0"/>
        <w:autoSpaceDN w:val="0"/>
        <w:adjustRightInd w:val="0"/>
        <w:spacing w:afterLines="50" w:after="156" w:line="280" w:lineRule="exact"/>
        <w:textAlignment w:val="baseline"/>
        <w:rPr>
          <w:rFonts w:ascii="Arial" w:hAnsi="Arial" w:cs="Arial"/>
          <w:b/>
          <w:bCs/>
          <w:kern w:val="0"/>
          <w:sz w:val="24"/>
          <w:szCs w:val="24"/>
          <w:lang w:val="en-GB"/>
        </w:rPr>
      </w:pPr>
      <w:r>
        <w:rPr>
          <w:rFonts w:ascii="Arial" w:eastAsia="MS Mincho" w:hAnsi="Arial" w:cs="Arial"/>
          <w:b/>
          <w:kern w:val="0"/>
          <w:sz w:val="24"/>
          <w:szCs w:val="24"/>
          <w:lang w:val="en-GB" w:eastAsia="en-US"/>
        </w:rPr>
        <w:t>Title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8E7BE2" w:rsidRPr="00D47701">
        <w:rPr>
          <w:rFonts w:ascii="Arial" w:hAnsi="Arial" w:cs="Arial"/>
          <w:b/>
          <w:kern w:val="0"/>
          <w:sz w:val="22"/>
          <w:szCs w:val="24"/>
          <w:lang w:val="en-GB"/>
        </w:rPr>
        <w:t>Ev</w:t>
      </w:r>
      <w:r w:rsidR="008E7BE2" w:rsidRPr="00D47701">
        <w:rPr>
          <w:rFonts w:ascii="Arial" w:eastAsia="MS Mincho" w:hAnsi="Arial" w:cs="Arial"/>
          <w:b/>
          <w:bCs/>
          <w:kern w:val="0"/>
          <w:sz w:val="22"/>
          <w:szCs w:val="24"/>
          <w:lang w:val="en-GB" w:eastAsia="en-US"/>
        </w:rPr>
        <w:t xml:space="preserve">aluation results </w:t>
      </w:r>
      <w:r w:rsidR="00324AA2">
        <w:rPr>
          <w:rFonts w:ascii="Arial" w:eastAsia="MS Mincho" w:hAnsi="Arial" w:cs="Arial"/>
          <w:b/>
          <w:bCs/>
          <w:kern w:val="0"/>
          <w:sz w:val="22"/>
          <w:szCs w:val="24"/>
          <w:lang w:val="en-GB" w:eastAsia="en-US"/>
        </w:rPr>
        <w:t xml:space="preserve">of mobility </w:t>
      </w:r>
      <w:r w:rsidR="008E7BE2" w:rsidRPr="00D47701">
        <w:rPr>
          <w:rFonts w:ascii="Arial" w:eastAsia="MS Mincho" w:hAnsi="Arial" w:cs="Arial"/>
          <w:b/>
          <w:bCs/>
          <w:kern w:val="0"/>
          <w:sz w:val="22"/>
          <w:szCs w:val="24"/>
          <w:lang w:val="en-GB" w:eastAsia="en-US"/>
        </w:rPr>
        <w:t xml:space="preserve">for </w:t>
      </w:r>
      <w:r w:rsidR="00324AA2">
        <w:rPr>
          <w:rFonts w:ascii="Arial" w:eastAsia="MS Mincho" w:hAnsi="Arial" w:cs="Arial"/>
          <w:b/>
          <w:bCs/>
          <w:kern w:val="0"/>
          <w:sz w:val="22"/>
          <w:szCs w:val="24"/>
          <w:lang w:val="en-GB" w:eastAsia="en-US"/>
        </w:rPr>
        <w:t>IMT-2020 self-evaluation</w:t>
      </w:r>
    </w:p>
    <w:p w:rsidR="002B7200" w:rsidRPr="007D575F" w:rsidRDefault="002B7200" w:rsidP="00542629">
      <w:pPr>
        <w:widowControl/>
        <w:spacing w:after="180"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Agenda Item</w:t>
      </w:r>
      <w:r w:rsidR="00154DD6">
        <w:rPr>
          <w:rFonts w:ascii="Arial" w:hAnsi="Arial" w:cs="Arial" w:hint="eastAsia"/>
          <w:b/>
          <w:kern w:val="0"/>
          <w:sz w:val="24"/>
          <w:szCs w:val="24"/>
          <w:lang w:val="pt-BR"/>
        </w:rPr>
        <w:t>:</w:t>
      </w:r>
      <w:r w:rsidR="00154DD6">
        <w:rPr>
          <w:rFonts w:ascii="Arial" w:hAnsi="Arial" w:cs="Arial" w:hint="eastAsia"/>
          <w:b/>
          <w:kern w:val="0"/>
          <w:sz w:val="24"/>
          <w:szCs w:val="24"/>
          <w:lang w:val="pt-BR"/>
        </w:rPr>
        <w:tab/>
      </w:r>
      <w:r w:rsidR="00154DD6">
        <w:rPr>
          <w:rFonts w:ascii="Arial" w:hAnsi="Arial" w:cs="Arial" w:hint="eastAsia"/>
          <w:b/>
          <w:kern w:val="0"/>
          <w:sz w:val="24"/>
          <w:szCs w:val="24"/>
          <w:lang w:val="pt-BR"/>
        </w:rPr>
        <w:tab/>
      </w:r>
      <w:r w:rsidR="005F2AFE">
        <w:rPr>
          <w:rFonts w:ascii="Arial" w:hAnsi="Arial" w:cs="Arial" w:hint="eastAsia"/>
          <w:b/>
          <w:bCs/>
          <w:kern w:val="0"/>
          <w:sz w:val="24"/>
          <w:szCs w:val="24"/>
          <w:lang w:val="pt-BR"/>
        </w:rPr>
        <w:t>7.2.7</w:t>
      </w:r>
      <w:r w:rsidR="00F07E05">
        <w:rPr>
          <w:rFonts w:ascii="Arial" w:hAnsi="Arial" w:cs="Arial" w:hint="eastAsia"/>
          <w:b/>
          <w:bCs/>
          <w:kern w:val="0"/>
          <w:sz w:val="24"/>
          <w:szCs w:val="24"/>
          <w:lang w:val="pt-BR"/>
        </w:rPr>
        <w:t>.2</w:t>
      </w:r>
    </w:p>
    <w:p w:rsidR="002B7200" w:rsidRDefault="00154DD6" w:rsidP="00542629">
      <w:pPr>
        <w:widowControl/>
        <w:pBdr>
          <w:bottom w:val="single" w:sz="12" w:space="8" w:color="auto"/>
        </w:pBdr>
        <w:tabs>
          <w:tab w:val="left" w:pos="8381"/>
        </w:tabs>
        <w:spacing w:beforeLines="50" w:before="156" w:afterLines="50" w:after="156"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 xml:space="preserve">Document for:    </w:t>
      </w:r>
      <w:r w:rsidR="002B7200" w:rsidRPr="00203CA7">
        <w:rPr>
          <w:rFonts w:ascii="Arial" w:eastAsia="MS Mincho" w:hAnsi="Arial" w:cs="Arial"/>
          <w:b/>
          <w:bCs/>
          <w:kern w:val="0"/>
          <w:sz w:val="24"/>
          <w:szCs w:val="24"/>
          <w:lang w:val="pt-BR" w:eastAsia="en-US"/>
        </w:rPr>
        <w:t>Discussion and Decision</w:t>
      </w:r>
      <w:r w:rsidR="00F92F7E">
        <w:rPr>
          <w:rFonts w:ascii="Arial" w:eastAsia="MS Mincho" w:hAnsi="Arial" w:cs="Arial"/>
          <w:b/>
          <w:bCs/>
          <w:kern w:val="0"/>
          <w:sz w:val="24"/>
          <w:szCs w:val="24"/>
          <w:lang w:val="pt-BR" w:eastAsia="en-US"/>
        </w:rPr>
        <w:tab/>
      </w:r>
    </w:p>
    <w:p w:rsidR="00280BB3" w:rsidRPr="00B95CFE" w:rsidRDefault="00532E81" w:rsidP="00280BB3">
      <w:pPr>
        <w:pStyle w:val="1"/>
        <w:numPr>
          <w:ilvl w:val="0"/>
          <w:numId w:val="3"/>
        </w:numPr>
        <w:spacing w:beforeLines="50" w:before="156" w:afterLines="50" w:after="156" w:line="400" w:lineRule="exact"/>
        <w:ind w:left="357" w:hanging="357"/>
        <w:jc w:val="left"/>
        <w:rPr>
          <w:rFonts w:ascii="Arial" w:hAnsi="Arial" w:cs="Arial"/>
          <w:sz w:val="30"/>
          <w:szCs w:val="30"/>
        </w:rPr>
      </w:pPr>
      <w:r w:rsidRPr="00835804">
        <w:rPr>
          <w:rFonts w:ascii="Arial" w:hAnsi="Arial" w:cs="Arial"/>
          <w:sz w:val="30"/>
          <w:szCs w:val="30"/>
        </w:rPr>
        <w:t>Introduction</w:t>
      </w:r>
    </w:p>
    <w:p w:rsidR="00FB459D" w:rsidRPr="00BD4864" w:rsidRDefault="00FB459D" w:rsidP="00F93E47">
      <w:pPr>
        <w:widowControl/>
        <w:spacing w:afterLines="50" w:after="156" w:line="400" w:lineRule="exact"/>
        <w:rPr>
          <w:rFonts w:ascii="Times New Roman" w:eastAsia="宋体" w:hAnsi="Times New Roman" w:cs="Times New Roman"/>
          <w:kern w:val="0"/>
          <w:sz w:val="20"/>
          <w:szCs w:val="20"/>
        </w:rPr>
      </w:pPr>
      <w:r w:rsidRPr="00BD4864">
        <w:rPr>
          <w:rFonts w:ascii="Times New Roman" w:eastAsia="宋体" w:hAnsi="Times New Roman" w:cs="Times New Roman" w:hint="eastAsia"/>
          <w:sz w:val="20"/>
          <w:szCs w:val="20"/>
        </w:rPr>
        <w:t xml:space="preserve">At RAN#75 meeting, </w:t>
      </w:r>
      <w:r w:rsidR="008A7F99">
        <w:rPr>
          <w:rFonts w:ascii="Times New Roman" w:eastAsia="宋体" w:hAnsi="Times New Roman" w:cs="Times New Roman"/>
          <w:sz w:val="20"/>
          <w:szCs w:val="20"/>
        </w:rPr>
        <w:t xml:space="preserve">a </w:t>
      </w:r>
      <w:r w:rsidRPr="00BD4864">
        <w:rPr>
          <w:rFonts w:ascii="Times New Roman" w:eastAsia="宋体" w:hAnsi="Times New Roman" w:cs="Times New Roman" w:hint="eastAsia"/>
          <w:kern w:val="0"/>
          <w:sz w:val="20"/>
          <w:szCs w:val="20"/>
        </w:rPr>
        <w:t>n</w:t>
      </w:r>
      <w:r w:rsidRPr="00BD4864">
        <w:rPr>
          <w:rFonts w:ascii="Times New Roman" w:eastAsia="Times New Roman" w:hAnsi="Times New Roman" w:cs="Times New Roman"/>
          <w:kern w:val="0"/>
          <w:sz w:val="20"/>
          <w:szCs w:val="20"/>
        </w:rPr>
        <w:t>ew Study Item on Self Evaluation towards IMT-2020 submission</w:t>
      </w:r>
      <w:r w:rsidRPr="00BD4864">
        <w:rPr>
          <w:rFonts w:ascii="Times New Roman" w:eastAsia="Times New Roman" w:hAnsi="Times New Roman" w:cs="Times New Roman" w:hint="eastAsia"/>
          <w:kern w:val="0"/>
          <w:sz w:val="20"/>
          <w:szCs w:val="20"/>
        </w:rPr>
        <w:t xml:space="preserve"> was approved </w:t>
      </w:r>
      <w:r w:rsidRPr="00BD4864">
        <w:rPr>
          <w:rFonts w:ascii="Times New Roman" w:eastAsia="Times New Roman" w:hAnsi="Times New Roman" w:cs="Times New Roman" w:hint="eastAsia"/>
          <w:kern w:val="0"/>
          <w:sz w:val="20"/>
          <w:szCs w:val="20"/>
          <w:vertAlign w:val="superscript"/>
        </w:rPr>
        <w:t>[1]</w:t>
      </w:r>
      <w:r w:rsidR="001736B9">
        <w:rPr>
          <w:rFonts w:ascii="Times New Roman" w:eastAsia="宋体" w:hAnsi="Times New Roman" w:cs="Times New Roman" w:hint="eastAsia"/>
          <w:kern w:val="0"/>
          <w:sz w:val="20"/>
          <w:szCs w:val="20"/>
        </w:rPr>
        <w:t xml:space="preserve"> and self-e</w:t>
      </w:r>
      <w:r w:rsidR="0052231F">
        <w:rPr>
          <w:rFonts w:ascii="Times New Roman" w:eastAsia="宋体" w:hAnsi="Times New Roman" w:cs="Times New Roman" w:hint="eastAsia"/>
          <w:kern w:val="0"/>
          <w:sz w:val="20"/>
          <w:szCs w:val="20"/>
        </w:rPr>
        <w:t>valuation should be done to confirm</w:t>
      </w:r>
      <w:r w:rsidR="001736B9">
        <w:rPr>
          <w:rFonts w:ascii="Times New Roman" w:eastAsia="宋体" w:hAnsi="Times New Roman" w:cs="Times New Roman" w:hint="eastAsia"/>
          <w:kern w:val="0"/>
          <w:sz w:val="20"/>
          <w:szCs w:val="20"/>
        </w:rPr>
        <w:t xml:space="preserve"> </w:t>
      </w:r>
      <w:r w:rsidR="00945657">
        <w:rPr>
          <w:rFonts w:ascii="Times New Roman" w:eastAsia="宋体" w:hAnsi="Times New Roman" w:cs="Times New Roman"/>
          <w:kern w:val="0"/>
          <w:sz w:val="20"/>
          <w:szCs w:val="20"/>
        </w:rPr>
        <w:t>whether</w:t>
      </w:r>
      <w:r w:rsidR="001736B9">
        <w:rPr>
          <w:rFonts w:ascii="Times New Roman" w:eastAsia="宋体" w:hAnsi="Times New Roman" w:cs="Times New Roman" w:hint="eastAsia"/>
          <w:kern w:val="0"/>
          <w:sz w:val="20"/>
          <w:szCs w:val="20"/>
        </w:rPr>
        <w:t xml:space="preserve"> </w:t>
      </w:r>
      <w:r w:rsidR="00591BD4">
        <w:rPr>
          <w:rFonts w:ascii="Times New Roman" w:eastAsia="宋体" w:hAnsi="Times New Roman" w:cs="Times New Roman"/>
          <w:kern w:val="0"/>
          <w:sz w:val="20"/>
          <w:szCs w:val="20"/>
        </w:rPr>
        <w:t>NR</w:t>
      </w:r>
      <w:r w:rsidR="001736B9">
        <w:rPr>
          <w:rFonts w:ascii="Times New Roman" w:eastAsia="宋体" w:hAnsi="Times New Roman" w:cs="Times New Roman"/>
          <w:kern w:val="0"/>
          <w:sz w:val="20"/>
          <w:szCs w:val="20"/>
        </w:rPr>
        <w:t xml:space="preserve"> meet</w:t>
      </w:r>
      <w:r w:rsidR="006A67F9">
        <w:rPr>
          <w:rFonts w:ascii="Times New Roman" w:eastAsia="宋体" w:hAnsi="Times New Roman" w:cs="Times New Roman"/>
          <w:kern w:val="0"/>
          <w:sz w:val="20"/>
          <w:szCs w:val="20"/>
        </w:rPr>
        <w:t>s</w:t>
      </w:r>
      <w:r w:rsidR="001736B9">
        <w:rPr>
          <w:rFonts w:ascii="Times New Roman" w:eastAsia="宋体" w:hAnsi="Times New Roman" w:cs="Times New Roman"/>
          <w:kern w:val="0"/>
          <w:sz w:val="20"/>
          <w:szCs w:val="20"/>
        </w:rPr>
        <w:t xml:space="preserve"> </w:t>
      </w:r>
      <w:r w:rsidRPr="00BD4864">
        <w:rPr>
          <w:rFonts w:ascii="Times New Roman" w:eastAsia="宋体" w:hAnsi="Times New Roman" w:cs="Times New Roman" w:hint="eastAsia"/>
          <w:kern w:val="0"/>
          <w:sz w:val="20"/>
          <w:szCs w:val="20"/>
        </w:rPr>
        <w:t>the ITU-R IMT-2020 requirements</w:t>
      </w:r>
      <w:r w:rsidR="00CA6F38">
        <w:rPr>
          <w:rFonts w:ascii="Times New Roman" w:eastAsia="宋体" w:hAnsi="Times New Roman" w:cs="Times New Roman"/>
          <w:kern w:val="0"/>
          <w:sz w:val="20"/>
          <w:szCs w:val="20"/>
        </w:rPr>
        <w:t xml:space="preserve"> or not</w:t>
      </w:r>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kern w:val="0"/>
          <w:sz w:val="20"/>
          <w:szCs w:val="20"/>
        </w:rPr>
        <w:t>T</w:t>
      </w:r>
      <w:r w:rsidRPr="00BD4864">
        <w:rPr>
          <w:rFonts w:ascii="Times New Roman" w:eastAsia="宋体" w:hAnsi="Times New Roman" w:cs="Times New Roman" w:hint="eastAsia"/>
          <w:kern w:val="0"/>
          <w:sz w:val="20"/>
          <w:szCs w:val="20"/>
        </w:rPr>
        <w:t xml:space="preserve">he key </w:t>
      </w:r>
      <w:bookmarkStart w:id="1" w:name="OLE_LINK3"/>
      <w:bookmarkStart w:id="2" w:name="OLE_LINK4"/>
      <w:bookmarkStart w:id="3" w:name="OLE_LINK5"/>
      <w:r w:rsidRPr="00BD4864">
        <w:rPr>
          <w:rFonts w:ascii="Times New Roman" w:eastAsia="宋体" w:hAnsi="Times New Roman" w:cs="Times New Roman" w:hint="eastAsia"/>
          <w:kern w:val="0"/>
          <w:sz w:val="20"/>
          <w:szCs w:val="20"/>
        </w:rPr>
        <w:t xml:space="preserve">minimum technical performance requirements </w:t>
      </w:r>
      <w:bookmarkEnd w:id="1"/>
      <w:bookmarkEnd w:id="2"/>
      <w:bookmarkEnd w:id="3"/>
      <w:r w:rsidRPr="00BD4864">
        <w:rPr>
          <w:rFonts w:ascii="Times New Roman" w:eastAsia="宋体" w:hAnsi="Times New Roman" w:cs="Times New Roman" w:hint="eastAsia"/>
          <w:kern w:val="0"/>
          <w:sz w:val="20"/>
          <w:szCs w:val="20"/>
        </w:rPr>
        <w:t xml:space="preserve">are provided in </w:t>
      </w:r>
      <w:bookmarkStart w:id="4" w:name="OLE_LINK12"/>
      <w:bookmarkStart w:id="5" w:name="OLE_LINK13"/>
      <w:bookmarkStart w:id="6" w:name="OLE_LINK14"/>
      <w:bookmarkStart w:id="7" w:name="OLE_LINK15"/>
      <w:bookmarkStart w:id="8" w:name="OLE_LINK16"/>
      <w:r w:rsidR="008138EA">
        <w:rPr>
          <w:rFonts w:ascii="Times New Roman" w:eastAsia="Times New Roman" w:hAnsi="Times New Roman" w:cs="Times New Roman"/>
          <w:kern w:val="0"/>
          <w:sz w:val="20"/>
          <w:szCs w:val="20"/>
          <w:lang w:eastAsia="ko-KR"/>
        </w:rPr>
        <w:t>R</w:t>
      </w:r>
      <w:r w:rsidR="008A7F99">
        <w:rPr>
          <w:rFonts w:ascii="Times New Roman" w:eastAsia="Times New Roman" w:hAnsi="Times New Roman" w:cs="Times New Roman"/>
          <w:kern w:val="0"/>
          <w:sz w:val="20"/>
          <w:szCs w:val="20"/>
          <w:lang w:eastAsia="ko-KR"/>
        </w:rPr>
        <w:t>eport ITU</w:t>
      </w:r>
      <w:r w:rsidR="008A7F99">
        <w:rPr>
          <w:rFonts w:ascii="Times New Roman" w:eastAsia="Times New Roman" w:hAnsi="Times New Roman" w:cs="Times New Roman"/>
          <w:kern w:val="0"/>
          <w:sz w:val="20"/>
          <w:szCs w:val="20"/>
          <w:lang w:eastAsia="ko-KR"/>
        </w:rPr>
        <w:noBreakHyphen/>
        <w:t xml:space="preserve">R </w:t>
      </w:r>
      <w:r w:rsidRPr="00BD4864">
        <w:rPr>
          <w:rFonts w:ascii="Times New Roman" w:eastAsia="Times New Roman" w:hAnsi="Times New Roman" w:cs="Times New Roman"/>
          <w:kern w:val="0"/>
          <w:sz w:val="20"/>
          <w:szCs w:val="20"/>
          <w:lang w:eastAsia="ko-KR"/>
        </w:rPr>
        <w:t>M.241</w:t>
      </w:r>
      <w:r w:rsidRPr="00BD4864">
        <w:rPr>
          <w:rFonts w:ascii="Times New Roman" w:eastAsia="宋体" w:hAnsi="Times New Roman" w:cs="Times New Roman" w:hint="eastAsia"/>
          <w:kern w:val="0"/>
          <w:sz w:val="20"/>
          <w:szCs w:val="20"/>
        </w:rPr>
        <w:t>0</w:t>
      </w:r>
      <w:bookmarkEnd w:id="4"/>
      <w:bookmarkEnd w:id="5"/>
      <w:bookmarkEnd w:id="6"/>
      <w:bookmarkEnd w:id="7"/>
      <w:bookmarkEnd w:id="8"/>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hint="eastAsia"/>
          <w:kern w:val="0"/>
          <w:sz w:val="20"/>
          <w:szCs w:val="20"/>
          <w:vertAlign w:val="superscript"/>
        </w:rPr>
        <w:t>[2]</w:t>
      </w:r>
      <w:bookmarkStart w:id="9" w:name="OLE_LINK166"/>
      <w:bookmarkStart w:id="10" w:name="OLE_LINK167"/>
      <w:r w:rsidRPr="00BD4864">
        <w:rPr>
          <w:rFonts w:ascii="Times New Roman" w:eastAsia="宋体" w:hAnsi="Times New Roman" w:cs="Times New Roman" w:hint="eastAsia"/>
          <w:kern w:val="0"/>
          <w:sz w:val="20"/>
          <w:szCs w:val="20"/>
        </w:rPr>
        <w:t>.</w:t>
      </w:r>
    </w:p>
    <w:p w:rsidR="0052231F" w:rsidRDefault="0052231F" w:rsidP="00556B57">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Reference [</w:t>
      </w:r>
      <w:r>
        <w:rPr>
          <w:rFonts w:ascii="Times New Roman" w:eastAsia="宋体" w:hAnsi="Times New Roman" w:cs="Times New Roman"/>
          <w:kern w:val="0"/>
          <w:sz w:val="20"/>
          <w:szCs w:val="20"/>
        </w:rPr>
        <w:t>2</w:t>
      </w:r>
      <w:r>
        <w:rPr>
          <w:rFonts w:ascii="Times New Roman" w:eastAsia="宋体" w:hAnsi="Times New Roman" w:cs="Times New Roman" w:hint="eastAsia"/>
          <w:kern w:val="0"/>
          <w:sz w:val="20"/>
          <w:szCs w:val="20"/>
        </w:rPr>
        <w:t>]</w:t>
      </w:r>
      <w:r w:rsidR="006F0131">
        <w:rPr>
          <w:rFonts w:ascii="Times New Roman" w:eastAsia="宋体" w:hAnsi="Times New Roman" w:cs="Times New Roman"/>
          <w:kern w:val="0"/>
          <w:sz w:val="20"/>
          <w:szCs w:val="20"/>
        </w:rPr>
        <w:t xml:space="preserve"> described</w:t>
      </w:r>
      <w:r>
        <w:rPr>
          <w:rFonts w:ascii="Times New Roman" w:eastAsia="宋体" w:hAnsi="Times New Roman" w:cs="Times New Roman"/>
          <w:kern w:val="0"/>
          <w:sz w:val="20"/>
          <w:szCs w:val="20"/>
        </w:rPr>
        <w:t xml:space="preserve"> that mobility is the maximum mobile station at which a defined QoS can be achieved (in km/h) and the following</w:t>
      </w:r>
      <w:r w:rsidR="00AD147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classes </w:t>
      </w:r>
      <w:r w:rsidR="00AD1473">
        <w:rPr>
          <w:rFonts w:ascii="Times New Roman" w:eastAsia="宋体" w:hAnsi="Times New Roman" w:cs="Times New Roman"/>
          <w:kern w:val="0"/>
          <w:sz w:val="20"/>
          <w:szCs w:val="20"/>
        </w:rPr>
        <w:t>of mobility are defined:</w:t>
      </w:r>
    </w:p>
    <w:p w:rsidR="0052231F" w:rsidRPr="0052231F" w:rsidRDefault="0052231F" w:rsidP="0052231F">
      <w:pPr>
        <w:widowControl/>
        <w:spacing w:line="400" w:lineRule="exact"/>
        <w:rPr>
          <w:rFonts w:ascii="Times New Roman" w:eastAsia="宋体" w:hAnsi="Times New Roman" w:cs="Times New Roman"/>
          <w:kern w:val="0"/>
          <w:sz w:val="20"/>
          <w:szCs w:val="20"/>
        </w:rPr>
      </w:pPr>
      <w:r w:rsidRPr="0052231F">
        <w:rPr>
          <w:rFonts w:ascii="Times New Roman" w:eastAsia="宋体" w:hAnsi="Times New Roman" w:cs="Times New Roman"/>
          <w:kern w:val="0"/>
          <w:sz w:val="20"/>
          <w:szCs w:val="20"/>
        </w:rPr>
        <w:t>–</w:t>
      </w:r>
      <w:r w:rsidRPr="0052231F">
        <w:rPr>
          <w:rFonts w:ascii="Times New Roman" w:eastAsia="宋体" w:hAnsi="Times New Roman" w:cs="Times New Roman"/>
          <w:kern w:val="0"/>
          <w:sz w:val="20"/>
          <w:szCs w:val="20"/>
        </w:rPr>
        <w:tab/>
        <w:t>Stationary: 0 km/h</w:t>
      </w:r>
    </w:p>
    <w:p w:rsidR="0052231F" w:rsidRPr="0052231F" w:rsidRDefault="0052231F" w:rsidP="0052231F">
      <w:pPr>
        <w:widowControl/>
        <w:spacing w:line="400" w:lineRule="exact"/>
        <w:rPr>
          <w:rFonts w:ascii="Times New Roman" w:eastAsia="宋体" w:hAnsi="Times New Roman" w:cs="Times New Roman"/>
          <w:kern w:val="0"/>
          <w:sz w:val="20"/>
          <w:szCs w:val="20"/>
        </w:rPr>
      </w:pPr>
      <w:r w:rsidRPr="0052231F">
        <w:rPr>
          <w:rFonts w:ascii="Times New Roman" w:eastAsia="宋体" w:hAnsi="Times New Roman" w:cs="Times New Roman"/>
          <w:kern w:val="0"/>
          <w:sz w:val="20"/>
          <w:szCs w:val="20"/>
        </w:rPr>
        <w:t>–</w:t>
      </w:r>
      <w:r w:rsidRPr="0052231F">
        <w:rPr>
          <w:rFonts w:ascii="Times New Roman" w:eastAsia="宋体" w:hAnsi="Times New Roman" w:cs="Times New Roman"/>
          <w:kern w:val="0"/>
          <w:sz w:val="20"/>
          <w:szCs w:val="20"/>
        </w:rPr>
        <w:tab/>
        <w:t>Pedestrian: 0 km/h to 10 km/h</w:t>
      </w:r>
    </w:p>
    <w:p w:rsidR="0052231F" w:rsidRPr="0052231F" w:rsidRDefault="0052231F" w:rsidP="0052231F">
      <w:pPr>
        <w:widowControl/>
        <w:spacing w:line="400" w:lineRule="exact"/>
        <w:rPr>
          <w:rFonts w:ascii="Times New Roman" w:eastAsia="宋体" w:hAnsi="Times New Roman" w:cs="Times New Roman"/>
          <w:kern w:val="0"/>
          <w:sz w:val="20"/>
          <w:szCs w:val="20"/>
        </w:rPr>
      </w:pPr>
      <w:r w:rsidRPr="0052231F">
        <w:rPr>
          <w:rFonts w:ascii="Times New Roman" w:eastAsia="宋体" w:hAnsi="Times New Roman" w:cs="Times New Roman"/>
          <w:kern w:val="0"/>
          <w:sz w:val="20"/>
          <w:szCs w:val="20"/>
        </w:rPr>
        <w:t>–</w:t>
      </w:r>
      <w:r w:rsidRPr="0052231F">
        <w:rPr>
          <w:rFonts w:ascii="Times New Roman" w:eastAsia="宋体" w:hAnsi="Times New Roman" w:cs="Times New Roman"/>
          <w:kern w:val="0"/>
          <w:sz w:val="20"/>
          <w:szCs w:val="20"/>
        </w:rPr>
        <w:tab/>
        <w:t>Vehicular: 10 km/h to 120 km/h</w:t>
      </w:r>
    </w:p>
    <w:p w:rsidR="0052231F" w:rsidRPr="0052231F" w:rsidRDefault="0052231F" w:rsidP="0052231F">
      <w:pPr>
        <w:widowControl/>
        <w:spacing w:line="400" w:lineRule="exact"/>
        <w:rPr>
          <w:rFonts w:ascii="Times New Roman" w:eastAsia="宋体" w:hAnsi="Times New Roman" w:cs="Times New Roman"/>
          <w:kern w:val="0"/>
          <w:sz w:val="20"/>
          <w:szCs w:val="20"/>
        </w:rPr>
      </w:pPr>
      <w:r w:rsidRPr="0052231F">
        <w:rPr>
          <w:rFonts w:ascii="Times New Roman" w:eastAsia="宋体" w:hAnsi="Times New Roman" w:cs="Times New Roman"/>
          <w:kern w:val="0"/>
          <w:sz w:val="20"/>
          <w:szCs w:val="20"/>
        </w:rPr>
        <w:t>–</w:t>
      </w:r>
      <w:r w:rsidRPr="0052231F">
        <w:rPr>
          <w:rFonts w:ascii="Times New Roman" w:eastAsia="宋体" w:hAnsi="Times New Roman" w:cs="Times New Roman"/>
          <w:kern w:val="0"/>
          <w:sz w:val="20"/>
          <w:szCs w:val="20"/>
        </w:rPr>
        <w:tab/>
        <w:t>High speed vehicular: 120 km/h to 500 km/h</w:t>
      </w:r>
    </w:p>
    <w:p w:rsidR="0052231F" w:rsidRDefault="006F0131" w:rsidP="00556B57">
      <w:pPr>
        <w:widowControl/>
        <w:spacing w:line="400" w:lineRule="exact"/>
        <w:rPr>
          <w:rFonts w:ascii="Times New Roman" w:eastAsia="宋体" w:hAnsi="Times New Roman" w:cs="Times New Roman"/>
          <w:kern w:val="0"/>
          <w:sz w:val="20"/>
          <w:szCs w:val="20"/>
        </w:rPr>
      </w:pPr>
      <w:r w:rsidRPr="006F0131">
        <w:rPr>
          <w:rFonts w:ascii="Times New Roman" w:eastAsia="宋体" w:hAnsi="Times New Roman" w:cs="Times New Roman"/>
          <w:kern w:val="0"/>
          <w:sz w:val="20"/>
          <w:szCs w:val="20"/>
        </w:rPr>
        <w:t xml:space="preserve">A mobility class is supported if the traffic channel link data rate on the uplink, normalized by bandwidth, is as shown in Table </w:t>
      </w:r>
      <w:r>
        <w:rPr>
          <w:rFonts w:ascii="Times New Roman" w:eastAsia="宋体" w:hAnsi="Times New Roman" w:cs="Times New Roman"/>
          <w:kern w:val="0"/>
          <w:sz w:val="20"/>
          <w:szCs w:val="20"/>
        </w:rPr>
        <w:t>1</w:t>
      </w:r>
      <w:r w:rsidR="00967835">
        <w:rPr>
          <w:rFonts w:ascii="Times New Roman" w:eastAsia="宋体" w:hAnsi="Times New Roman" w:cs="Times New Roman"/>
          <w:kern w:val="0"/>
          <w:sz w:val="20"/>
          <w:szCs w:val="20"/>
        </w:rPr>
        <w:t>.</w:t>
      </w:r>
    </w:p>
    <w:p w:rsidR="006F0131" w:rsidRPr="005A47AE" w:rsidRDefault="006F0131" w:rsidP="006F0131">
      <w:pPr>
        <w:pStyle w:val="TableNo"/>
        <w:spacing w:before="240"/>
        <w:rPr>
          <w:lang w:val="en-US" w:eastAsia="ja-JP"/>
        </w:rPr>
      </w:pPr>
      <w:r w:rsidRPr="005A47AE">
        <w:rPr>
          <w:lang w:val="en-US"/>
        </w:rPr>
        <w:t xml:space="preserve">TABLE </w:t>
      </w:r>
      <w:r>
        <w:rPr>
          <w:lang w:val="en-US" w:eastAsia="ja-JP"/>
        </w:rPr>
        <w:t>1</w:t>
      </w:r>
    </w:p>
    <w:p w:rsidR="006F0131" w:rsidRPr="005A47AE" w:rsidRDefault="006F0131" w:rsidP="006F0131">
      <w:pPr>
        <w:pStyle w:val="Tabletitle"/>
        <w:rPr>
          <w:lang w:val="en-US" w:eastAsia="ja-JP"/>
        </w:rPr>
      </w:pPr>
      <w:r w:rsidRPr="005A47AE">
        <w:rPr>
          <w:lang w:val="en-US"/>
        </w:rPr>
        <w:t>Traffic channel link data rates</w:t>
      </w:r>
      <w:r w:rsidRPr="005A47AE">
        <w:rPr>
          <w:lang w:val="en-US" w:eastAsia="ja-JP"/>
        </w:rPr>
        <w:t xml:space="preserve"> normalized by bandwidth</w:t>
      </w:r>
    </w:p>
    <w:tbl>
      <w:tblPr>
        <w:tblStyle w:val="a7"/>
        <w:tblW w:w="0" w:type="auto"/>
        <w:tblLook w:val="01E0" w:firstRow="1" w:lastRow="1" w:firstColumn="1" w:lastColumn="1" w:noHBand="0" w:noVBand="0"/>
      </w:tblPr>
      <w:tblGrid>
        <w:gridCol w:w="2166"/>
        <w:gridCol w:w="4594"/>
        <w:gridCol w:w="1578"/>
      </w:tblGrid>
      <w:tr w:rsidR="006F0131" w:rsidRPr="005A47AE" w:rsidTr="0004488C">
        <w:tc>
          <w:tcPr>
            <w:tcW w:w="0" w:type="auto"/>
            <w:shd w:val="clear" w:color="auto" w:fill="FBD4B4" w:themeFill="accent6" w:themeFillTint="66"/>
            <w:vAlign w:val="center"/>
          </w:tcPr>
          <w:p w:rsidR="006F0131" w:rsidRPr="005A47AE" w:rsidRDefault="006F0131" w:rsidP="0004488C">
            <w:pPr>
              <w:pStyle w:val="Tablehead"/>
              <w:spacing w:before="20" w:after="20"/>
              <w:rPr>
                <w:lang w:val="en-US"/>
              </w:rPr>
            </w:pPr>
            <w:r w:rsidRPr="005A47AE">
              <w:rPr>
                <w:lang w:val="en-US"/>
              </w:rPr>
              <w:t>Test environment</w:t>
            </w:r>
          </w:p>
        </w:tc>
        <w:tc>
          <w:tcPr>
            <w:tcW w:w="0" w:type="auto"/>
            <w:shd w:val="clear" w:color="auto" w:fill="FBD4B4" w:themeFill="accent6" w:themeFillTint="66"/>
            <w:vAlign w:val="center"/>
            <w:hideMark/>
          </w:tcPr>
          <w:p w:rsidR="006F0131" w:rsidRPr="005A47AE" w:rsidRDefault="006F0131" w:rsidP="0004488C">
            <w:pPr>
              <w:pStyle w:val="Tablehead"/>
              <w:spacing w:before="20" w:after="20"/>
            </w:pPr>
            <w:r w:rsidRPr="005A47AE">
              <w:rPr>
                <w:lang w:val="en-US"/>
              </w:rPr>
              <w:t>Normalized traffic channel link data rate</w:t>
            </w:r>
            <w:r w:rsidRPr="005A47AE">
              <w:rPr>
                <w:lang w:val="en-US" w:eastAsia="ja-JP"/>
              </w:rPr>
              <w:t xml:space="preserve"> (</w:t>
            </w:r>
            <w:r w:rsidRPr="005A47AE">
              <w:t>Bit/s/Hz)</w:t>
            </w:r>
          </w:p>
        </w:tc>
        <w:tc>
          <w:tcPr>
            <w:tcW w:w="0" w:type="auto"/>
            <w:shd w:val="clear" w:color="auto" w:fill="FBD4B4" w:themeFill="accent6" w:themeFillTint="66"/>
            <w:vAlign w:val="center"/>
            <w:hideMark/>
          </w:tcPr>
          <w:p w:rsidR="006F0131" w:rsidRPr="005A47AE" w:rsidRDefault="006F0131" w:rsidP="0004488C">
            <w:pPr>
              <w:pStyle w:val="Tablehead"/>
              <w:spacing w:before="20" w:after="20"/>
              <w:rPr>
                <w:lang w:val="en-US"/>
              </w:rPr>
            </w:pPr>
            <w:r w:rsidRPr="005A47AE">
              <w:rPr>
                <w:lang w:val="en-US"/>
              </w:rPr>
              <w:t>Mobility (km/h)</w:t>
            </w:r>
          </w:p>
        </w:tc>
      </w:tr>
      <w:tr w:rsidR="006F0131" w:rsidRPr="005A47AE" w:rsidTr="0004488C">
        <w:tc>
          <w:tcPr>
            <w:tcW w:w="0" w:type="auto"/>
            <w:shd w:val="clear" w:color="auto" w:fill="FBD4B4" w:themeFill="accent6" w:themeFillTint="66"/>
            <w:vAlign w:val="center"/>
            <w:hideMark/>
          </w:tcPr>
          <w:p w:rsidR="006F0131" w:rsidRPr="005A47AE" w:rsidRDefault="006F0131" w:rsidP="0004488C">
            <w:pPr>
              <w:pStyle w:val="Tabletext"/>
              <w:spacing w:before="20" w:after="20"/>
              <w:jc w:val="center"/>
              <w:rPr>
                <w:lang w:val="en-US" w:eastAsia="ja-JP"/>
              </w:rPr>
            </w:pPr>
            <w:r w:rsidRPr="005A47AE">
              <w:rPr>
                <w:lang w:val="en-US"/>
              </w:rPr>
              <w:t>Indoor</w:t>
            </w:r>
            <w:r w:rsidRPr="005A47AE">
              <w:rPr>
                <w:lang w:val="en-US" w:eastAsia="ja-JP"/>
              </w:rPr>
              <w:t xml:space="preserve"> Hotspot – eMBB</w:t>
            </w:r>
          </w:p>
        </w:tc>
        <w:tc>
          <w:tcPr>
            <w:tcW w:w="0" w:type="auto"/>
            <w:vAlign w:val="center"/>
          </w:tcPr>
          <w:p w:rsidR="006F0131" w:rsidRPr="005A47AE" w:rsidRDefault="006F0131" w:rsidP="0004488C">
            <w:pPr>
              <w:pStyle w:val="Tabletext"/>
              <w:spacing w:before="20" w:after="20"/>
              <w:jc w:val="center"/>
              <w:rPr>
                <w:lang w:val="en-US" w:eastAsia="ja-JP"/>
              </w:rPr>
            </w:pPr>
            <w:r w:rsidRPr="005A47AE">
              <w:t>1.5</w:t>
            </w:r>
          </w:p>
        </w:tc>
        <w:tc>
          <w:tcPr>
            <w:tcW w:w="0" w:type="auto"/>
            <w:vAlign w:val="center"/>
            <w:hideMark/>
          </w:tcPr>
          <w:p w:rsidR="006F0131" w:rsidRPr="005A47AE" w:rsidRDefault="006F0131" w:rsidP="0004488C">
            <w:pPr>
              <w:pStyle w:val="Tabletext"/>
              <w:spacing w:before="20" w:after="20"/>
              <w:jc w:val="center"/>
              <w:rPr>
                <w:lang w:val="en-US" w:eastAsia="ja-JP"/>
              </w:rPr>
            </w:pPr>
            <w:r w:rsidRPr="005A47AE">
              <w:rPr>
                <w:lang w:val="en-US" w:eastAsia="ja-JP"/>
              </w:rPr>
              <w:t>10</w:t>
            </w:r>
          </w:p>
        </w:tc>
      </w:tr>
      <w:tr w:rsidR="006F0131" w:rsidRPr="005A47AE" w:rsidTr="0004488C">
        <w:tc>
          <w:tcPr>
            <w:tcW w:w="0" w:type="auto"/>
            <w:shd w:val="clear" w:color="auto" w:fill="FBD4B4" w:themeFill="accent6" w:themeFillTint="66"/>
            <w:vAlign w:val="center"/>
            <w:hideMark/>
          </w:tcPr>
          <w:p w:rsidR="006F0131" w:rsidRPr="005A47AE" w:rsidRDefault="006F0131" w:rsidP="0004488C">
            <w:pPr>
              <w:pStyle w:val="Tabletext"/>
              <w:spacing w:before="20" w:after="20"/>
              <w:jc w:val="center"/>
              <w:rPr>
                <w:lang w:val="en-US" w:eastAsia="ja-JP"/>
              </w:rPr>
            </w:pPr>
            <w:r w:rsidRPr="005A47AE">
              <w:rPr>
                <w:lang w:val="en-US" w:eastAsia="ja-JP"/>
              </w:rPr>
              <w:t>Dense Urban – eMBB</w:t>
            </w:r>
          </w:p>
        </w:tc>
        <w:tc>
          <w:tcPr>
            <w:tcW w:w="0" w:type="auto"/>
            <w:vAlign w:val="center"/>
          </w:tcPr>
          <w:p w:rsidR="006F0131" w:rsidRPr="005A47AE" w:rsidRDefault="006F0131" w:rsidP="0004488C">
            <w:pPr>
              <w:pStyle w:val="Tabletext"/>
              <w:spacing w:before="20" w:after="20"/>
              <w:jc w:val="center"/>
              <w:rPr>
                <w:lang w:val="en-US" w:eastAsia="ja-JP"/>
              </w:rPr>
            </w:pPr>
            <w:r w:rsidRPr="005A47AE">
              <w:t>1.12</w:t>
            </w:r>
          </w:p>
        </w:tc>
        <w:tc>
          <w:tcPr>
            <w:tcW w:w="0" w:type="auto"/>
            <w:vAlign w:val="center"/>
            <w:hideMark/>
          </w:tcPr>
          <w:p w:rsidR="006F0131" w:rsidRPr="005A47AE" w:rsidRDefault="006F0131" w:rsidP="0004488C">
            <w:pPr>
              <w:pStyle w:val="Tabletext"/>
              <w:spacing w:before="20" w:after="20"/>
              <w:jc w:val="center"/>
              <w:rPr>
                <w:lang w:val="en-US" w:eastAsia="ja-JP"/>
              </w:rPr>
            </w:pPr>
            <w:r w:rsidRPr="005A47AE">
              <w:rPr>
                <w:lang w:val="en-US" w:eastAsia="ja-JP"/>
              </w:rPr>
              <w:t>30</w:t>
            </w:r>
          </w:p>
        </w:tc>
      </w:tr>
      <w:tr w:rsidR="006F0131" w:rsidRPr="005A47AE" w:rsidTr="0004488C">
        <w:tc>
          <w:tcPr>
            <w:tcW w:w="0" w:type="auto"/>
            <w:vMerge w:val="restart"/>
            <w:shd w:val="clear" w:color="auto" w:fill="FBD4B4" w:themeFill="accent6" w:themeFillTint="66"/>
            <w:vAlign w:val="center"/>
            <w:hideMark/>
          </w:tcPr>
          <w:p w:rsidR="006F0131" w:rsidRPr="005A47AE" w:rsidRDefault="006F0131" w:rsidP="0004488C">
            <w:pPr>
              <w:pStyle w:val="Tabletext"/>
              <w:spacing w:before="20" w:after="20"/>
              <w:jc w:val="center"/>
              <w:rPr>
                <w:lang w:val="en-US" w:eastAsia="ja-JP"/>
              </w:rPr>
            </w:pPr>
            <w:r w:rsidRPr="005A47AE">
              <w:rPr>
                <w:lang w:val="en-US" w:eastAsia="ja-JP"/>
              </w:rPr>
              <w:t>Rural – eMBB</w:t>
            </w:r>
          </w:p>
        </w:tc>
        <w:tc>
          <w:tcPr>
            <w:tcW w:w="0" w:type="auto"/>
            <w:vAlign w:val="center"/>
          </w:tcPr>
          <w:p w:rsidR="006F0131" w:rsidRPr="005A47AE" w:rsidRDefault="006F0131" w:rsidP="0004488C">
            <w:pPr>
              <w:pStyle w:val="Tabletext"/>
              <w:spacing w:before="20" w:after="20"/>
              <w:jc w:val="center"/>
              <w:rPr>
                <w:lang w:val="en-US" w:eastAsia="ja-JP"/>
              </w:rPr>
            </w:pPr>
            <w:r w:rsidRPr="005A47AE">
              <w:t>0.8</w:t>
            </w:r>
          </w:p>
        </w:tc>
        <w:tc>
          <w:tcPr>
            <w:tcW w:w="0" w:type="auto"/>
            <w:vAlign w:val="center"/>
            <w:hideMark/>
          </w:tcPr>
          <w:p w:rsidR="006F0131" w:rsidRPr="005A47AE" w:rsidRDefault="006F0131" w:rsidP="0004488C">
            <w:pPr>
              <w:pStyle w:val="Tabletext"/>
              <w:spacing w:before="20" w:after="20"/>
              <w:jc w:val="center"/>
              <w:rPr>
                <w:lang w:val="en-US" w:eastAsia="ja-JP"/>
              </w:rPr>
            </w:pPr>
            <w:r w:rsidRPr="005A47AE">
              <w:rPr>
                <w:lang w:val="en-US" w:eastAsia="ja-JP"/>
              </w:rPr>
              <w:t>120</w:t>
            </w:r>
          </w:p>
        </w:tc>
      </w:tr>
      <w:tr w:rsidR="006F0131" w:rsidRPr="005A47AE" w:rsidTr="0004488C">
        <w:tc>
          <w:tcPr>
            <w:tcW w:w="0" w:type="auto"/>
            <w:vMerge/>
            <w:shd w:val="clear" w:color="auto" w:fill="FBD4B4" w:themeFill="accent6" w:themeFillTint="66"/>
            <w:vAlign w:val="center"/>
            <w:hideMark/>
          </w:tcPr>
          <w:p w:rsidR="006F0131" w:rsidRPr="005A47AE" w:rsidRDefault="006F0131" w:rsidP="0004488C">
            <w:pPr>
              <w:pStyle w:val="Tabletext"/>
              <w:spacing w:before="20" w:after="20"/>
              <w:jc w:val="center"/>
              <w:rPr>
                <w:lang w:val="en-US" w:eastAsia="ja-JP"/>
              </w:rPr>
            </w:pPr>
          </w:p>
        </w:tc>
        <w:tc>
          <w:tcPr>
            <w:tcW w:w="0" w:type="auto"/>
            <w:vAlign w:val="center"/>
          </w:tcPr>
          <w:p w:rsidR="006F0131" w:rsidRPr="005A47AE" w:rsidRDefault="006F0131" w:rsidP="0004488C">
            <w:pPr>
              <w:pStyle w:val="Tabletext"/>
              <w:jc w:val="center"/>
              <w:rPr>
                <w:lang w:val="en-US" w:eastAsia="ja-JP"/>
              </w:rPr>
            </w:pPr>
            <w:r w:rsidRPr="005A47AE">
              <w:t>0.45</w:t>
            </w:r>
          </w:p>
        </w:tc>
        <w:tc>
          <w:tcPr>
            <w:tcW w:w="0" w:type="auto"/>
            <w:vAlign w:val="center"/>
            <w:hideMark/>
          </w:tcPr>
          <w:p w:rsidR="006F0131" w:rsidRPr="005A47AE" w:rsidRDefault="006F0131" w:rsidP="0004488C">
            <w:pPr>
              <w:pStyle w:val="Tabletext"/>
              <w:spacing w:before="20" w:after="20"/>
              <w:jc w:val="center"/>
              <w:rPr>
                <w:lang w:val="en-US" w:eastAsia="ja-JP"/>
              </w:rPr>
            </w:pPr>
            <w:r w:rsidRPr="005A47AE">
              <w:rPr>
                <w:lang w:val="en-US" w:eastAsia="ja-JP"/>
              </w:rPr>
              <w:t>500</w:t>
            </w:r>
          </w:p>
        </w:tc>
      </w:tr>
    </w:tbl>
    <w:p w:rsidR="006F0131" w:rsidRDefault="006F0131" w:rsidP="006F0131">
      <w:pPr>
        <w:pStyle w:val="Tablefin"/>
      </w:pPr>
    </w:p>
    <w:bookmarkEnd w:id="9"/>
    <w:bookmarkEnd w:id="10"/>
    <w:p w:rsidR="00532E81" w:rsidRDefault="00F562FA" w:rsidP="00317CCD">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hint="eastAsia"/>
          <w:sz w:val="30"/>
          <w:szCs w:val="30"/>
        </w:rPr>
        <w:t xml:space="preserve">Evaluation </w:t>
      </w:r>
      <w:r>
        <w:rPr>
          <w:rFonts w:ascii="Arial" w:hAnsi="Arial" w:cs="Arial"/>
          <w:sz w:val="30"/>
          <w:szCs w:val="30"/>
        </w:rPr>
        <w:t>method and parameters</w:t>
      </w:r>
    </w:p>
    <w:p w:rsidR="00DC2B90" w:rsidRDefault="00DC2B90" w:rsidP="00DC2B90">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sidR="002C7F10">
        <w:rPr>
          <w:rFonts w:ascii="Times New Roman" w:eastAsia="宋体" w:hAnsi="Times New Roman" w:cs="Times New Roman" w:hint="eastAsia"/>
          <w:kern w:val="0"/>
          <w:sz w:val="20"/>
          <w:szCs w:val="20"/>
        </w:rPr>
        <w:t xml:space="preserve">ollowing </w:t>
      </w:r>
      <w:r w:rsidR="002C7F10">
        <w:rPr>
          <w:rFonts w:ascii="Times New Roman" w:eastAsia="宋体" w:hAnsi="Times New Roman" w:cs="Times New Roman"/>
          <w:kern w:val="0"/>
          <w:sz w:val="20"/>
          <w:szCs w:val="20"/>
        </w:rPr>
        <w:t xml:space="preserve">system level and link level </w:t>
      </w:r>
      <w:r w:rsidR="002C7F10">
        <w:rPr>
          <w:rFonts w:ascii="Times New Roman" w:eastAsia="宋体" w:hAnsi="Times New Roman" w:cs="Times New Roman" w:hint="eastAsia"/>
          <w:kern w:val="0"/>
          <w:sz w:val="20"/>
          <w:szCs w:val="20"/>
        </w:rPr>
        <w:t>steps to evalua</w:t>
      </w:r>
      <w:r w:rsidR="002C7F10">
        <w:rPr>
          <w:rFonts w:ascii="Times New Roman" w:eastAsia="宋体" w:hAnsi="Times New Roman" w:cs="Times New Roman"/>
          <w:kern w:val="0"/>
          <w:sz w:val="20"/>
          <w:szCs w:val="20"/>
        </w:rPr>
        <w:t xml:space="preserve">te mobility requirements </w:t>
      </w:r>
      <w:r>
        <w:rPr>
          <w:rFonts w:ascii="Times New Roman" w:eastAsia="宋体" w:hAnsi="Times New Roman" w:cs="Times New Roman"/>
          <w:kern w:val="0"/>
          <w:sz w:val="20"/>
          <w:szCs w:val="20"/>
        </w:rPr>
        <w:t>are</w:t>
      </w:r>
      <w:r w:rsidR="002C7F10">
        <w:rPr>
          <w:rFonts w:ascii="Times New Roman" w:eastAsia="宋体" w:hAnsi="Times New Roman" w:cs="Times New Roman"/>
          <w:kern w:val="0"/>
          <w:sz w:val="20"/>
          <w:szCs w:val="20"/>
        </w:rPr>
        <w:t xml:space="preserve"> captured in [3]</w:t>
      </w:r>
      <w:r>
        <w:rPr>
          <w:rFonts w:ascii="Times New Roman" w:eastAsia="宋体" w:hAnsi="Times New Roman" w:cs="Times New Roman"/>
          <w:kern w:val="0"/>
          <w:sz w:val="20"/>
          <w:szCs w:val="20"/>
        </w:rPr>
        <w:t xml:space="preserve"> and we</w:t>
      </w:r>
      <w:r>
        <w:rPr>
          <w:rFonts w:ascii="Times New Roman" w:eastAsia="宋体" w:hAnsi="Times New Roman" w:cs="Times New Roman" w:hint="eastAsia"/>
          <w:kern w:val="0"/>
          <w:sz w:val="20"/>
          <w:szCs w:val="20"/>
        </w:rPr>
        <w:t xml:space="preserve"> use</w:t>
      </w:r>
      <w:r>
        <w:rPr>
          <w:rFonts w:ascii="Times New Roman" w:eastAsia="宋体" w:hAnsi="Times New Roman" w:cs="Times New Roman"/>
          <w:kern w:val="0"/>
          <w:sz w:val="20"/>
          <w:szCs w:val="20"/>
        </w:rPr>
        <w:t>d</w:t>
      </w:r>
      <w:r>
        <w:rPr>
          <w:rFonts w:ascii="Times New Roman" w:eastAsia="宋体" w:hAnsi="Times New Roman" w:cs="Times New Roman" w:hint="eastAsia"/>
          <w:kern w:val="0"/>
          <w:sz w:val="20"/>
          <w:szCs w:val="20"/>
        </w:rPr>
        <w:t xml:space="preserve"> the </w:t>
      </w:r>
      <w:r>
        <w:rPr>
          <w:rFonts w:ascii="Times New Roman" w:eastAsia="宋体" w:hAnsi="Times New Roman" w:cs="Times New Roman"/>
          <w:kern w:val="0"/>
          <w:sz w:val="20"/>
          <w:szCs w:val="20"/>
        </w:rPr>
        <w:t>steps to conduct our simulation. In addition, other guidelines toward mobility evaluation agreed in RAN1#92bis can be found in [4].</w:t>
      </w:r>
    </w:p>
    <w:p w:rsidR="002C7F10" w:rsidRPr="00644D7A" w:rsidRDefault="002C7F10" w:rsidP="00F562FA">
      <w:pPr>
        <w:widowControl/>
        <w:spacing w:line="400" w:lineRule="exact"/>
        <w:rPr>
          <w:rFonts w:ascii="Times New Roman" w:eastAsia="宋体" w:hAnsi="Times New Roman" w:cs="Times New Roman"/>
          <w:kern w:val="0"/>
          <w:sz w:val="20"/>
          <w:szCs w:val="20"/>
        </w:rPr>
      </w:pPr>
    </w:p>
    <w:tbl>
      <w:tblPr>
        <w:tblStyle w:val="a7"/>
        <w:tblW w:w="0" w:type="auto"/>
        <w:tblLook w:val="04A0" w:firstRow="1" w:lastRow="0" w:firstColumn="1" w:lastColumn="0" w:noHBand="0" w:noVBand="1"/>
      </w:tblPr>
      <w:tblGrid>
        <w:gridCol w:w="8522"/>
      </w:tblGrid>
      <w:tr w:rsidR="002C7F10" w:rsidTr="00BB0448">
        <w:tc>
          <w:tcPr>
            <w:tcW w:w="8522" w:type="dxa"/>
            <w:shd w:val="clear" w:color="auto" w:fill="auto"/>
          </w:tcPr>
          <w:p w:rsidR="002C7F10" w:rsidRPr="002C7F10" w:rsidRDefault="002C7F10" w:rsidP="002C7F10">
            <w:pPr>
              <w:widowControl/>
              <w:spacing w:line="400" w:lineRule="exact"/>
            </w:pPr>
            <w:r w:rsidRPr="002C7F10">
              <w:rPr>
                <w:i/>
              </w:rPr>
              <w:lastRenderedPageBreak/>
              <w:t>Step 1:</w:t>
            </w:r>
            <w:r w:rsidRPr="002C7F10">
              <w:t xml:space="preserve"> </w:t>
            </w:r>
            <w:r w:rsidRPr="002C7F10">
              <w:tab/>
              <w:t>Run uplink system-level simulations, identical to those for average spectral efficiency, and 5</w:t>
            </w:r>
            <w:r w:rsidRPr="002C7F10">
              <w:rPr>
                <w:vertAlign w:val="superscript"/>
              </w:rPr>
              <w:t>th</w:t>
            </w:r>
            <w:r w:rsidRPr="002C7F10">
              <w:t xml:space="preserve"> percentile user spectral efficiency except for speeds taken from Table 4 of Report ITU-R M.[IMT-2020.TECH PERF REQ], using link-level simulations and a link-to-system interface appropriate for these speed values, for the set of selected test environment(s) associated with the candidate RITs/SRITs and collect overall statistics for uplink </w:t>
            </w:r>
            <w:r w:rsidRPr="002C7F10">
              <w:rPr>
                <w:i/>
              </w:rPr>
              <w:t>SINR</w:t>
            </w:r>
            <w:r w:rsidRPr="002C7F10">
              <w:t xml:space="preserve"> values, and construct CDF over these values for each test environment.</w:t>
            </w:r>
          </w:p>
          <w:p w:rsidR="002C7F10" w:rsidRPr="002C7F10" w:rsidRDefault="002C7F10" w:rsidP="002C7F10">
            <w:pPr>
              <w:widowControl/>
              <w:spacing w:line="400" w:lineRule="exact"/>
            </w:pPr>
            <w:r w:rsidRPr="002C7F10">
              <w:rPr>
                <w:i/>
              </w:rPr>
              <w:t>Step 2:</w:t>
            </w:r>
            <w:r w:rsidRPr="002C7F10">
              <w:tab/>
              <w:t>Use the CDF for the test environment(s) to save the respective 50</w:t>
            </w:r>
            <w:r w:rsidRPr="002C7F10">
              <w:rPr>
                <w:vertAlign w:val="superscript"/>
              </w:rPr>
              <w:t>th</w:t>
            </w:r>
            <w:r w:rsidRPr="002C7F10">
              <w:t xml:space="preserve">-percentile </w:t>
            </w:r>
            <w:r w:rsidRPr="002C7F10">
              <w:rPr>
                <w:i/>
              </w:rPr>
              <w:t>SINR</w:t>
            </w:r>
            <w:r w:rsidRPr="002C7F10">
              <w:t xml:space="preserve"> value.</w:t>
            </w:r>
          </w:p>
          <w:p w:rsidR="002C7F10" w:rsidRPr="002C7F10" w:rsidRDefault="002C7F10" w:rsidP="002C7F10">
            <w:pPr>
              <w:widowControl/>
              <w:spacing w:line="400" w:lineRule="exact"/>
            </w:pPr>
            <w:r w:rsidRPr="002C7F10">
              <w:rPr>
                <w:i/>
              </w:rPr>
              <w:t>Step 3:</w:t>
            </w:r>
            <w:r w:rsidRPr="002C7F10">
              <w:t xml:space="preserve"> </w:t>
            </w:r>
            <w:r w:rsidRPr="002C7F10">
              <w:tab/>
              <w:t>Run new uplink link-level simulations for the selected test environment(s) for either NLOS or LOS channel conditions using the associated speeds in Table 4 of Report ITU</w:t>
            </w:r>
            <w:r w:rsidRPr="002C7F10">
              <w:noBreakHyphen/>
              <w:t xml:space="preserve">R M.[IMT-2020.TECH PERF REQ], as input parameters, to obtain link data rate and residual packet error ratio as a function of </w:t>
            </w:r>
            <w:r w:rsidRPr="002C7F10">
              <w:rPr>
                <w:i/>
                <w:iCs/>
              </w:rPr>
              <w:t>SINR</w:t>
            </w:r>
            <w:r w:rsidRPr="002C7F10">
              <w:t>. The link-level simulation shall use air interface configuration(s) supported by the proposal and take into account retransmission, channel estimation and phase noise impact.</w:t>
            </w:r>
          </w:p>
          <w:p w:rsidR="002C7F10" w:rsidRPr="002C7F10" w:rsidRDefault="002C7F10" w:rsidP="002C7F10">
            <w:pPr>
              <w:widowControl/>
              <w:spacing w:line="400" w:lineRule="exact"/>
            </w:pPr>
            <w:r w:rsidRPr="002C7F10">
              <w:rPr>
                <w:i/>
              </w:rPr>
              <w:t>Step 4:</w:t>
            </w:r>
            <w:r w:rsidRPr="002C7F10">
              <w:t xml:space="preserve"> </w:t>
            </w:r>
            <w:r w:rsidRPr="002C7F10">
              <w:tab/>
              <w:t>Compare the uplink spectral efficiency values (link data rate normalized by channel bandwidth) obtained from</w:t>
            </w:r>
            <w:r w:rsidRPr="002C7F10">
              <w:rPr>
                <w:i/>
              </w:rPr>
              <w:t xml:space="preserve"> Step 3</w:t>
            </w:r>
            <w:r w:rsidRPr="002C7F10">
              <w:t xml:space="preserve"> using the associated </w:t>
            </w:r>
            <w:r w:rsidRPr="002C7F10">
              <w:rPr>
                <w:i/>
                <w:iCs/>
              </w:rPr>
              <w:t>SINR</w:t>
            </w:r>
            <w:r w:rsidRPr="002C7F10">
              <w:t xml:space="preserve"> value obtained from </w:t>
            </w:r>
            <w:r w:rsidRPr="002C7F10">
              <w:rPr>
                <w:i/>
              </w:rPr>
              <w:t>Step 2</w:t>
            </w:r>
            <w:r w:rsidRPr="002C7F10">
              <w:t xml:space="preserve"> for selected test environments, with the corresponding threshold values in the Table 4 of Report ITU-R M.[IMT-2020.TECH PERF REQ].</w:t>
            </w:r>
          </w:p>
          <w:p w:rsidR="002C7F10" w:rsidRPr="002C7F10" w:rsidRDefault="002C7F10" w:rsidP="002C7F10">
            <w:pPr>
              <w:widowControl/>
              <w:spacing w:line="400" w:lineRule="exact"/>
            </w:pPr>
            <w:r w:rsidRPr="002C7F10">
              <w:rPr>
                <w:i/>
              </w:rPr>
              <w:t xml:space="preserve">Step 5: </w:t>
            </w:r>
            <w:r w:rsidRPr="002C7F10">
              <w:rPr>
                <w:i/>
              </w:rPr>
              <w:tab/>
            </w:r>
            <w:r w:rsidRPr="002C7F10">
              <w:t>The proposal fulfils the mobility requirement if the spectral efficiency value is larger than or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2C7F10" w:rsidRPr="002C7F10" w:rsidRDefault="002C7F10" w:rsidP="00F562FA">
            <w:pPr>
              <w:widowControl/>
              <w:spacing w:line="400" w:lineRule="exact"/>
            </w:pPr>
            <w:r w:rsidRPr="002C7F10">
              <w:t>Similar methodology can be used for downlink in case this is additionally evaluated.</w:t>
            </w:r>
          </w:p>
        </w:tc>
      </w:tr>
    </w:tbl>
    <w:p w:rsidR="008F7BDA" w:rsidRDefault="00A43AD7" w:rsidP="008B7D2D">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t>System level simulation</w:t>
      </w:r>
      <w:r w:rsidR="00F562FA">
        <w:rPr>
          <w:rFonts w:ascii="Arial" w:hAnsi="Arial" w:cs="Arial"/>
          <w:sz w:val="20"/>
          <w:szCs w:val="20"/>
        </w:rPr>
        <w:t xml:space="preserve"> parameters</w:t>
      </w:r>
    </w:p>
    <w:p w:rsidR="008F7BDA" w:rsidRDefault="007316B6" w:rsidP="00E67A1D">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Mobility should be evaluated under InH, Dense Urban and Rural scenarios. Besides, the evaluation assumptions and configurations should follow the ones defined for average and 5% user spectral efficiency. System level evaluation parameters are attached in Appendix A.</w:t>
      </w:r>
    </w:p>
    <w:p w:rsidR="006E0B10" w:rsidRDefault="00A43AD7" w:rsidP="00900401">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t>Link level simulation parameters</w:t>
      </w:r>
    </w:p>
    <w:p w:rsidR="001D638E" w:rsidRPr="001D638E" w:rsidRDefault="007316B6" w:rsidP="001D638E">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parameters for link level simulation are listed in Appendix B</w:t>
      </w:r>
    </w:p>
    <w:p w:rsidR="00A43AD7" w:rsidRPr="0046628C" w:rsidRDefault="001B7A61" w:rsidP="0046628C">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sz w:val="30"/>
          <w:szCs w:val="30"/>
        </w:rPr>
        <w:t>Initial e</w:t>
      </w:r>
      <w:r w:rsidR="00DF3412" w:rsidRPr="00A16BCC">
        <w:rPr>
          <w:rFonts w:ascii="Arial" w:hAnsi="Arial" w:cs="Arial"/>
          <w:sz w:val="30"/>
          <w:szCs w:val="30"/>
        </w:rPr>
        <w:t xml:space="preserve">valuation </w:t>
      </w:r>
      <w:r w:rsidR="00DF3412" w:rsidRPr="00A16BCC">
        <w:rPr>
          <w:rFonts w:ascii="Arial" w:hAnsi="Arial" w:cs="Arial" w:hint="eastAsia"/>
          <w:sz w:val="30"/>
          <w:szCs w:val="30"/>
        </w:rPr>
        <w:t>results</w:t>
      </w:r>
    </w:p>
    <w:p w:rsidR="0076003A" w:rsidRDefault="0076003A" w:rsidP="00F34B1C">
      <w:pPr>
        <w:widowControl/>
        <w:spacing w:afterLines="50" w:after="156" w:line="400" w:lineRule="exact"/>
        <w:rPr>
          <w:rFonts w:ascii="Arial" w:hAnsi="Arial" w:cs="Arial"/>
          <w:sz w:val="20"/>
          <w:szCs w:val="20"/>
        </w:rPr>
      </w:pPr>
    </w:p>
    <w:p w:rsidR="00A43AD7" w:rsidRPr="00A43AD7" w:rsidRDefault="00A43AD7" w:rsidP="00A43AD7">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lastRenderedPageBreak/>
        <w:t>System level part</w:t>
      </w:r>
    </w:p>
    <w:p w:rsidR="00F04936" w:rsidRPr="00C37C35" w:rsidRDefault="008B5922" w:rsidP="00D177CF">
      <w:pPr>
        <w:widowControl/>
        <w:spacing w:afterLines="50" w:after="156" w:line="400" w:lineRule="exact"/>
        <w:rPr>
          <w:rFonts w:ascii="Times New Roman" w:eastAsia="宋体" w:hAnsi="Times New Roman" w:cs="Times New Roman"/>
          <w:kern w:val="0"/>
          <w:sz w:val="20"/>
          <w:szCs w:val="20"/>
        </w:rPr>
      </w:pPr>
      <w:r w:rsidRPr="008B5922">
        <w:rPr>
          <w:rFonts w:ascii="Times New Roman" w:eastAsia="宋体" w:hAnsi="Times New Roman" w:cs="Times New Roman"/>
          <w:kern w:val="0"/>
          <w:sz w:val="20"/>
          <w:szCs w:val="20"/>
        </w:rPr>
        <w:t xml:space="preserve">According to </w:t>
      </w:r>
      <w:r w:rsidR="00C87D33">
        <w:rPr>
          <w:rFonts w:ascii="Times New Roman" w:eastAsia="宋体" w:hAnsi="Times New Roman" w:cs="Times New Roman"/>
          <w:kern w:val="0"/>
          <w:sz w:val="20"/>
          <w:szCs w:val="20"/>
        </w:rPr>
        <w:t xml:space="preserve">evaluation </w:t>
      </w:r>
      <w:r w:rsidR="00F34B1C">
        <w:rPr>
          <w:rFonts w:ascii="Times New Roman" w:eastAsia="宋体" w:hAnsi="Times New Roman" w:cs="Times New Roman"/>
          <w:kern w:val="0"/>
          <w:sz w:val="20"/>
          <w:szCs w:val="20"/>
        </w:rPr>
        <w:t xml:space="preserve">method and </w:t>
      </w:r>
      <w:r w:rsidRPr="008B5922">
        <w:rPr>
          <w:rFonts w:ascii="Times New Roman" w:eastAsia="宋体" w:hAnsi="Times New Roman" w:cs="Times New Roman"/>
          <w:kern w:val="0"/>
          <w:sz w:val="20"/>
          <w:szCs w:val="20"/>
        </w:rPr>
        <w:t>assumption</w:t>
      </w:r>
      <w:r w:rsidR="00F34B1C">
        <w:rPr>
          <w:rFonts w:ascii="Times New Roman" w:eastAsia="宋体" w:hAnsi="Times New Roman" w:cs="Times New Roman"/>
          <w:kern w:val="0"/>
          <w:sz w:val="20"/>
          <w:szCs w:val="20"/>
        </w:rPr>
        <w:t>s</w:t>
      </w:r>
      <w:r w:rsidRPr="008B5922">
        <w:rPr>
          <w:rFonts w:ascii="Times New Roman" w:eastAsia="宋体" w:hAnsi="Times New Roman" w:cs="Times New Roman"/>
          <w:kern w:val="0"/>
          <w:sz w:val="20"/>
          <w:szCs w:val="20"/>
        </w:rPr>
        <w:t xml:space="preserve"> above, </w:t>
      </w:r>
      <w:r w:rsidR="00C87D33" w:rsidRPr="008B5922">
        <w:rPr>
          <w:rFonts w:ascii="Times New Roman" w:eastAsia="宋体" w:hAnsi="Times New Roman" w:cs="Times New Roman"/>
          <w:kern w:val="0"/>
          <w:sz w:val="20"/>
          <w:szCs w:val="20"/>
        </w:rPr>
        <w:t>we</w:t>
      </w:r>
      <w:r w:rsidR="00DF3412" w:rsidRPr="008B5922">
        <w:rPr>
          <w:rFonts w:ascii="Times New Roman" w:eastAsia="宋体" w:hAnsi="Times New Roman" w:cs="Times New Roman" w:hint="eastAsia"/>
          <w:kern w:val="0"/>
          <w:sz w:val="20"/>
          <w:szCs w:val="20"/>
        </w:rPr>
        <w:t xml:space="preserve"> have got t</w:t>
      </w:r>
      <w:r w:rsidR="00C87D33">
        <w:rPr>
          <w:rFonts w:ascii="Times New Roman" w:eastAsia="宋体" w:hAnsi="Times New Roman" w:cs="Times New Roman" w:hint="eastAsia"/>
          <w:kern w:val="0"/>
          <w:sz w:val="20"/>
          <w:szCs w:val="20"/>
        </w:rPr>
        <w:t xml:space="preserve">he </w:t>
      </w:r>
      <w:r w:rsidR="00F34B1C">
        <w:rPr>
          <w:rFonts w:ascii="Times New Roman" w:eastAsia="宋体" w:hAnsi="Times New Roman" w:cs="Times New Roman"/>
          <w:kern w:val="0"/>
          <w:sz w:val="20"/>
          <w:szCs w:val="20"/>
        </w:rPr>
        <w:t xml:space="preserve">uplink SINR curves </w:t>
      </w:r>
      <w:r w:rsidR="00490F92">
        <w:rPr>
          <w:rFonts w:ascii="Times New Roman" w:eastAsia="宋体" w:hAnsi="Times New Roman" w:cs="Times New Roman" w:hint="eastAsia"/>
          <w:kern w:val="0"/>
          <w:sz w:val="20"/>
          <w:szCs w:val="20"/>
        </w:rPr>
        <w:t>for different eMBB</w:t>
      </w:r>
      <w:r w:rsidR="003A58B0">
        <w:rPr>
          <w:rFonts w:ascii="Times New Roman" w:eastAsia="宋体" w:hAnsi="Times New Roman" w:cs="Times New Roman"/>
          <w:kern w:val="0"/>
          <w:sz w:val="20"/>
          <w:szCs w:val="20"/>
        </w:rPr>
        <w:t xml:space="preserve"> test environments</w:t>
      </w:r>
      <w:r w:rsidR="00BD4C81">
        <w:rPr>
          <w:rFonts w:ascii="Times New Roman" w:eastAsia="宋体" w:hAnsi="Times New Roman" w:cs="Times New Roman" w:hint="eastAsia"/>
          <w:kern w:val="0"/>
          <w:sz w:val="20"/>
          <w:szCs w:val="20"/>
        </w:rPr>
        <w:t>:</w:t>
      </w:r>
      <w:r w:rsidR="00F04936" w:rsidRPr="00F04936">
        <w:t xml:space="preserve"> </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6"/>
      </w:tblGrid>
      <w:tr w:rsidR="00881A0F" w:rsidTr="00BD3587">
        <w:trPr>
          <w:jc w:val="center"/>
        </w:trPr>
        <w:tc>
          <w:tcPr>
            <w:tcW w:w="4261" w:type="dxa"/>
            <w:vAlign w:val="center"/>
          </w:tcPr>
          <w:p w:rsidR="00881A0F" w:rsidRDefault="00881A0F" w:rsidP="00BD3587">
            <w:pPr>
              <w:jc w:val="center"/>
              <w:rPr>
                <w:noProof/>
              </w:rPr>
            </w:pPr>
            <w:r>
              <w:rPr>
                <w:noProof/>
              </w:rPr>
              <w:drawing>
                <wp:inline distT="0" distB="0" distL="0" distR="0" wp14:anchorId="0C03113D" wp14:editId="6CB91BA3">
                  <wp:extent cx="3600000" cy="2694148"/>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694148"/>
                          </a:xfrm>
                          <a:prstGeom prst="rect">
                            <a:avLst/>
                          </a:prstGeom>
                        </pic:spPr>
                      </pic:pic>
                    </a:graphicData>
                  </a:graphic>
                </wp:inline>
              </w:drawing>
            </w:r>
          </w:p>
        </w:tc>
      </w:tr>
      <w:tr w:rsidR="00881A0F" w:rsidTr="00881A0F">
        <w:trPr>
          <w:jc w:val="center"/>
        </w:trPr>
        <w:tc>
          <w:tcPr>
            <w:tcW w:w="4261" w:type="dxa"/>
          </w:tcPr>
          <w:p w:rsidR="00881A0F" w:rsidRPr="00216901" w:rsidRDefault="00881A0F" w:rsidP="00216901">
            <w:pPr>
              <w:widowControl/>
              <w:spacing w:afterLines="50" w:after="156" w:line="400" w:lineRule="exact"/>
              <w:jc w:val="center"/>
            </w:pPr>
            <w:r>
              <w:t>F</w:t>
            </w:r>
            <w:r w:rsidRPr="007412D4">
              <w:rPr>
                <w:rFonts w:hint="eastAsia"/>
              </w:rPr>
              <w:t xml:space="preserve">igure </w:t>
            </w:r>
            <w:r w:rsidRPr="007412D4">
              <w:t>1</w:t>
            </w:r>
            <w:r>
              <w:t xml:space="preserve"> CDF of uplink SINR </w:t>
            </w:r>
            <w:r w:rsidRPr="007412D4">
              <w:t>for Indoor Hotspot</w:t>
            </w:r>
          </w:p>
        </w:tc>
      </w:tr>
    </w:tbl>
    <w:p w:rsidR="00313B8A" w:rsidRDefault="00313B8A" w:rsidP="00E65CE6">
      <w:pPr>
        <w:widowControl/>
        <w:spacing w:afterLines="50" w:after="156" w:line="400" w:lineRule="exact"/>
        <w:rPr>
          <w:rFonts w:ascii="Times New Roman" w:eastAsia="宋体" w:hAnsi="Times New Roman" w:cs="Times New Roman"/>
          <w:b/>
          <w:i/>
          <w:kern w:val="0"/>
          <w:sz w:val="20"/>
          <w:szCs w:val="20"/>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E85855" w:rsidTr="00BD3587">
        <w:tc>
          <w:tcPr>
            <w:tcW w:w="8522" w:type="dxa"/>
            <w:vAlign w:val="center"/>
          </w:tcPr>
          <w:p w:rsidR="00E85855" w:rsidRDefault="00E85855" w:rsidP="00BD3587">
            <w:pPr>
              <w:jc w:val="center"/>
            </w:pPr>
            <w:r>
              <w:rPr>
                <w:noProof/>
              </w:rPr>
              <w:drawing>
                <wp:inline distT="0" distB="0" distL="0" distR="0" wp14:anchorId="614296C1" wp14:editId="195DDF3D">
                  <wp:extent cx="3600000" cy="2694149"/>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694149"/>
                          </a:xfrm>
                          <a:prstGeom prst="rect">
                            <a:avLst/>
                          </a:prstGeom>
                        </pic:spPr>
                      </pic:pic>
                    </a:graphicData>
                  </a:graphic>
                </wp:inline>
              </w:drawing>
            </w:r>
          </w:p>
        </w:tc>
      </w:tr>
      <w:tr w:rsidR="00172BBD" w:rsidTr="00903C85">
        <w:tc>
          <w:tcPr>
            <w:tcW w:w="8522" w:type="dxa"/>
            <w:vAlign w:val="center"/>
          </w:tcPr>
          <w:p w:rsidR="00172BBD" w:rsidRDefault="00172BBD" w:rsidP="00E85855">
            <w:pPr>
              <w:jc w:val="center"/>
              <w:rPr>
                <w:noProof/>
              </w:rPr>
            </w:pPr>
            <w:r>
              <w:t>F</w:t>
            </w:r>
            <w:r w:rsidRPr="007412D4">
              <w:rPr>
                <w:rFonts w:hint="eastAsia"/>
              </w:rPr>
              <w:t xml:space="preserve">igure </w:t>
            </w:r>
            <w:r>
              <w:rPr>
                <w:rFonts w:hint="eastAsia"/>
              </w:rPr>
              <w:t>2</w:t>
            </w:r>
            <w:r>
              <w:t xml:space="preserve"> CDF of uplink SINR for D</w:t>
            </w:r>
            <w:r>
              <w:rPr>
                <w:rFonts w:hint="eastAsia"/>
              </w:rPr>
              <w:t>ense</w:t>
            </w:r>
            <w:r>
              <w:t xml:space="preserve"> Urban</w:t>
            </w:r>
          </w:p>
        </w:tc>
      </w:tr>
    </w:tbl>
    <w:p w:rsidR="00D56F32" w:rsidRDefault="00D56F32" w:rsidP="00A12CB5">
      <w:pPr>
        <w:widowControl/>
        <w:spacing w:afterLines="50" w:after="156" w:line="400" w:lineRule="exact"/>
        <w:rPr>
          <w:rFonts w:ascii="Times New Roman" w:eastAsia="宋体" w:hAnsi="Times New Roman" w:cs="Times New Roman"/>
          <w:b/>
          <w:i/>
          <w:kern w:val="0"/>
          <w:sz w:val="20"/>
          <w:szCs w:val="20"/>
          <w:u w:val="single"/>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6"/>
      </w:tblGrid>
      <w:tr w:rsidR="00881A0F" w:rsidTr="00B15595">
        <w:trPr>
          <w:jc w:val="center"/>
        </w:trPr>
        <w:tc>
          <w:tcPr>
            <w:tcW w:w="7026" w:type="dxa"/>
            <w:vAlign w:val="center"/>
          </w:tcPr>
          <w:p w:rsidR="00881A0F" w:rsidRDefault="00881A0F" w:rsidP="00BD3587">
            <w:pPr>
              <w:jc w:val="center"/>
            </w:pPr>
            <w:r>
              <w:rPr>
                <w:noProof/>
              </w:rPr>
              <w:lastRenderedPageBreak/>
              <w:drawing>
                <wp:inline distT="0" distB="0" distL="0" distR="0" wp14:anchorId="5C642081" wp14:editId="083FDF57">
                  <wp:extent cx="3600000" cy="2694148"/>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2694148"/>
                          </a:xfrm>
                          <a:prstGeom prst="rect">
                            <a:avLst/>
                          </a:prstGeom>
                        </pic:spPr>
                      </pic:pic>
                    </a:graphicData>
                  </a:graphic>
                </wp:inline>
              </w:drawing>
            </w:r>
          </w:p>
        </w:tc>
      </w:tr>
      <w:tr w:rsidR="00881A0F" w:rsidTr="00B15595">
        <w:trPr>
          <w:jc w:val="center"/>
        </w:trPr>
        <w:tc>
          <w:tcPr>
            <w:tcW w:w="7026" w:type="dxa"/>
          </w:tcPr>
          <w:p w:rsidR="00881A0F" w:rsidRDefault="008C3DB6" w:rsidP="008C3DB6">
            <w:pPr>
              <w:jc w:val="center"/>
            </w:pPr>
            <w:r>
              <w:t>F</w:t>
            </w:r>
            <w:r w:rsidRPr="007412D4">
              <w:rPr>
                <w:rFonts w:hint="eastAsia"/>
              </w:rPr>
              <w:t xml:space="preserve">igure </w:t>
            </w:r>
            <w:r>
              <w:t>3</w:t>
            </w:r>
            <w:r>
              <w:rPr>
                <w:rFonts w:hint="eastAsia"/>
              </w:rPr>
              <w:t>(</w:t>
            </w:r>
            <w:r>
              <w:t>a</w:t>
            </w:r>
            <w:r>
              <w:rPr>
                <w:rFonts w:hint="eastAsia"/>
              </w:rPr>
              <w:t>)</w:t>
            </w:r>
            <w:r>
              <w:t xml:space="preserve"> CDF of uplink SINR for Rural, 700MHz</w:t>
            </w:r>
          </w:p>
        </w:tc>
      </w:tr>
      <w:tr w:rsidR="00881A0F" w:rsidTr="00B15595">
        <w:trPr>
          <w:jc w:val="center"/>
        </w:trPr>
        <w:tc>
          <w:tcPr>
            <w:tcW w:w="7026" w:type="dxa"/>
            <w:vAlign w:val="center"/>
          </w:tcPr>
          <w:p w:rsidR="00881A0F" w:rsidRDefault="00881A0F" w:rsidP="00BD3587">
            <w:pPr>
              <w:jc w:val="center"/>
            </w:pPr>
            <w:r>
              <w:rPr>
                <w:noProof/>
              </w:rPr>
              <w:drawing>
                <wp:inline distT="0" distB="0" distL="0" distR="0" wp14:anchorId="039B4B56" wp14:editId="77A5DF4E">
                  <wp:extent cx="3600000" cy="2694148"/>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2694148"/>
                          </a:xfrm>
                          <a:prstGeom prst="rect">
                            <a:avLst/>
                          </a:prstGeom>
                        </pic:spPr>
                      </pic:pic>
                    </a:graphicData>
                  </a:graphic>
                </wp:inline>
              </w:drawing>
            </w:r>
          </w:p>
        </w:tc>
      </w:tr>
      <w:tr w:rsidR="00881A0F" w:rsidTr="00B15595">
        <w:trPr>
          <w:jc w:val="center"/>
        </w:trPr>
        <w:tc>
          <w:tcPr>
            <w:tcW w:w="7026" w:type="dxa"/>
          </w:tcPr>
          <w:p w:rsidR="00881A0F" w:rsidRDefault="008C3DB6" w:rsidP="008C3DB6">
            <w:pPr>
              <w:jc w:val="center"/>
            </w:pPr>
            <w:r>
              <w:t>F</w:t>
            </w:r>
            <w:r w:rsidRPr="007412D4">
              <w:rPr>
                <w:rFonts w:hint="eastAsia"/>
              </w:rPr>
              <w:t xml:space="preserve">igure </w:t>
            </w:r>
            <w:r>
              <w:t>3</w:t>
            </w:r>
            <w:r>
              <w:rPr>
                <w:rFonts w:hint="eastAsia"/>
              </w:rPr>
              <w:t>(</w:t>
            </w:r>
            <w:r>
              <w:t>b</w:t>
            </w:r>
            <w:r>
              <w:rPr>
                <w:rFonts w:hint="eastAsia"/>
              </w:rPr>
              <w:t>)</w:t>
            </w:r>
            <w:r>
              <w:t xml:space="preserve"> CDF of uplink SINR for Rural, 4GHz</w:t>
            </w:r>
          </w:p>
        </w:tc>
      </w:tr>
    </w:tbl>
    <w:p w:rsidR="0067101C" w:rsidRDefault="00BD3587" w:rsidP="00265EC1">
      <w:pPr>
        <w:widowControl/>
        <w:spacing w:afterLines="50" w:after="156"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the CDF curves, w</w:t>
      </w:r>
      <w:r w:rsidR="00265EC1">
        <w:rPr>
          <w:rFonts w:ascii="Times New Roman" w:eastAsia="宋体" w:hAnsi="Times New Roman" w:cs="Times New Roman"/>
          <w:kern w:val="0"/>
          <w:sz w:val="20"/>
          <w:szCs w:val="20"/>
        </w:rPr>
        <w:t>e</w:t>
      </w:r>
      <w:r>
        <w:rPr>
          <w:rFonts w:ascii="Times New Roman" w:eastAsia="宋体" w:hAnsi="Times New Roman" w:cs="Times New Roman"/>
          <w:kern w:val="0"/>
          <w:sz w:val="20"/>
          <w:szCs w:val="20"/>
        </w:rPr>
        <w:t xml:space="preserve"> can</w:t>
      </w:r>
      <w:r w:rsidR="00265EC1">
        <w:rPr>
          <w:rFonts w:ascii="Times New Roman" w:eastAsia="宋体" w:hAnsi="Times New Roman" w:cs="Times New Roman"/>
          <w:kern w:val="0"/>
          <w:sz w:val="20"/>
          <w:szCs w:val="20"/>
        </w:rPr>
        <w:t xml:space="preserve"> </w:t>
      </w:r>
      <w:r w:rsidR="009B70A1">
        <w:rPr>
          <w:rFonts w:ascii="Times New Roman" w:eastAsia="宋体" w:hAnsi="Times New Roman" w:cs="Times New Roman"/>
          <w:kern w:val="0"/>
          <w:sz w:val="20"/>
          <w:szCs w:val="20"/>
        </w:rPr>
        <w:t xml:space="preserve">further </w:t>
      </w:r>
      <w:r>
        <w:rPr>
          <w:rFonts w:ascii="Times New Roman" w:eastAsia="宋体" w:hAnsi="Times New Roman" w:cs="Times New Roman"/>
          <w:kern w:val="0"/>
          <w:sz w:val="20"/>
          <w:szCs w:val="20"/>
        </w:rPr>
        <w:t>get</w:t>
      </w:r>
      <w:r w:rsidR="00265EC1">
        <w:rPr>
          <w:rFonts w:ascii="Times New Roman" w:eastAsia="宋体" w:hAnsi="Times New Roman" w:cs="Times New Roman"/>
          <w:kern w:val="0"/>
          <w:sz w:val="20"/>
          <w:szCs w:val="20"/>
        </w:rPr>
        <w:t xml:space="preserve"> the </w:t>
      </w:r>
      <w:r w:rsidR="00265EC1" w:rsidRPr="00265EC1">
        <w:rPr>
          <w:rFonts w:ascii="Times New Roman" w:eastAsia="宋体" w:hAnsi="Times New Roman" w:cs="Times New Roman"/>
          <w:kern w:val="0"/>
          <w:sz w:val="20"/>
          <w:szCs w:val="20"/>
        </w:rPr>
        <w:t>respective 50th-percentile SINR value</w:t>
      </w:r>
      <w:r w:rsidR="00265EC1">
        <w:rPr>
          <w:rFonts w:ascii="Times New Roman" w:eastAsia="宋体" w:hAnsi="Times New Roman" w:cs="Times New Roman"/>
          <w:kern w:val="0"/>
          <w:sz w:val="20"/>
          <w:szCs w:val="20"/>
        </w:rPr>
        <w:t>s as shown in Table 2 below:</w:t>
      </w:r>
    </w:p>
    <w:p w:rsidR="00265EC1" w:rsidRDefault="00265EC1" w:rsidP="00265EC1">
      <w:pPr>
        <w:widowControl/>
        <w:spacing w:afterLines="50" w:after="156" w:line="400" w:lineRule="exact"/>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TABLE 2</w:t>
      </w:r>
    </w:p>
    <w:p w:rsidR="006D211A" w:rsidRPr="006D211A" w:rsidRDefault="006D211A" w:rsidP="006D211A">
      <w:pPr>
        <w:pStyle w:val="Tabletitle"/>
        <w:rPr>
          <w:lang w:val="en-US" w:eastAsia="ja-JP"/>
        </w:rPr>
      </w:pPr>
      <w:r w:rsidRPr="006D211A">
        <w:rPr>
          <w:lang w:val="en-US" w:eastAsia="ja-JP"/>
        </w:rPr>
        <w:t>50th-percentile SINR values</w:t>
      </w:r>
    </w:p>
    <w:tbl>
      <w:tblPr>
        <w:tblStyle w:val="a7"/>
        <w:tblW w:w="8222" w:type="dxa"/>
        <w:tblInd w:w="250" w:type="dxa"/>
        <w:tblLook w:val="04A0" w:firstRow="1" w:lastRow="0" w:firstColumn="1" w:lastColumn="0" w:noHBand="0" w:noVBand="1"/>
      </w:tblPr>
      <w:tblGrid>
        <w:gridCol w:w="2531"/>
        <w:gridCol w:w="2856"/>
        <w:gridCol w:w="2835"/>
      </w:tblGrid>
      <w:tr w:rsidR="00381972" w:rsidTr="00381972">
        <w:tc>
          <w:tcPr>
            <w:tcW w:w="2531" w:type="dxa"/>
            <w:vMerge w:val="restart"/>
            <w:shd w:val="clear" w:color="auto" w:fill="FBD4B4" w:themeFill="accent6" w:themeFillTint="66"/>
            <w:vAlign w:val="center"/>
          </w:tcPr>
          <w:p w:rsidR="00381972" w:rsidRPr="00381972" w:rsidRDefault="00381972" w:rsidP="00381972">
            <w:pPr>
              <w:pStyle w:val="Tablehead"/>
              <w:spacing w:before="20" w:after="20"/>
              <w:rPr>
                <w:lang w:val="en-US"/>
              </w:rPr>
            </w:pPr>
            <w:r w:rsidRPr="00381972">
              <w:rPr>
                <w:rFonts w:hint="eastAsia"/>
                <w:lang w:val="en-US"/>
              </w:rPr>
              <w:t>Test environments</w:t>
            </w:r>
          </w:p>
        </w:tc>
        <w:tc>
          <w:tcPr>
            <w:tcW w:w="5691" w:type="dxa"/>
            <w:gridSpan w:val="2"/>
            <w:shd w:val="clear" w:color="auto" w:fill="FBD4B4" w:themeFill="accent6" w:themeFillTint="66"/>
            <w:vAlign w:val="center"/>
          </w:tcPr>
          <w:p w:rsidR="00381972" w:rsidRPr="00381972" w:rsidRDefault="00381972" w:rsidP="00381972">
            <w:pPr>
              <w:pStyle w:val="Tablehead"/>
              <w:spacing w:before="20" w:after="20"/>
              <w:rPr>
                <w:lang w:val="en-US"/>
              </w:rPr>
            </w:pPr>
            <w:r w:rsidRPr="00381972">
              <w:rPr>
                <w:rFonts w:hint="eastAsia"/>
                <w:lang w:val="en-US"/>
              </w:rPr>
              <w:t xml:space="preserve">50th </w:t>
            </w:r>
            <w:r w:rsidR="006D211A">
              <w:rPr>
                <w:lang w:val="en-US"/>
              </w:rPr>
              <w:t>percentile SINR(dB)</w:t>
            </w:r>
          </w:p>
        </w:tc>
      </w:tr>
      <w:tr w:rsidR="00381972" w:rsidTr="00381972">
        <w:tc>
          <w:tcPr>
            <w:tcW w:w="2531" w:type="dxa"/>
            <w:vMerge/>
            <w:shd w:val="clear" w:color="auto" w:fill="FBD4B4" w:themeFill="accent6" w:themeFillTint="66"/>
            <w:vAlign w:val="center"/>
          </w:tcPr>
          <w:p w:rsidR="00381972" w:rsidRPr="00381972" w:rsidRDefault="00381972" w:rsidP="00381972">
            <w:pPr>
              <w:pStyle w:val="Tablehead"/>
              <w:spacing w:before="20" w:after="20"/>
              <w:rPr>
                <w:lang w:val="en-US"/>
              </w:rPr>
            </w:pPr>
          </w:p>
        </w:tc>
        <w:tc>
          <w:tcPr>
            <w:tcW w:w="2856" w:type="dxa"/>
            <w:shd w:val="clear" w:color="auto" w:fill="FBD4B4" w:themeFill="accent6" w:themeFillTint="66"/>
            <w:vAlign w:val="center"/>
          </w:tcPr>
          <w:p w:rsidR="00381972" w:rsidRPr="00381972" w:rsidRDefault="00381972" w:rsidP="00381972">
            <w:pPr>
              <w:pStyle w:val="Tablehead"/>
              <w:spacing w:before="20" w:after="20"/>
              <w:rPr>
                <w:lang w:val="en-US"/>
              </w:rPr>
            </w:pPr>
            <w:r w:rsidRPr="00381972">
              <w:rPr>
                <w:rFonts w:hint="eastAsia"/>
                <w:lang w:val="en-US"/>
              </w:rPr>
              <w:t>Mode A</w:t>
            </w:r>
          </w:p>
        </w:tc>
        <w:tc>
          <w:tcPr>
            <w:tcW w:w="2835" w:type="dxa"/>
            <w:shd w:val="clear" w:color="auto" w:fill="FBD4B4" w:themeFill="accent6" w:themeFillTint="66"/>
            <w:vAlign w:val="center"/>
          </w:tcPr>
          <w:p w:rsidR="00381972" w:rsidRPr="00381972" w:rsidRDefault="00381972" w:rsidP="00381972">
            <w:pPr>
              <w:pStyle w:val="Tablehead"/>
              <w:spacing w:before="20" w:after="20"/>
              <w:rPr>
                <w:lang w:val="en-US"/>
              </w:rPr>
            </w:pPr>
            <w:r w:rsidRPr="00381972">
              <w:rPr>
                <w:rFonts w:hint="eastAsia"/>
                <w:lang w:val="en-US"/>
              </w:rPr>
              <w:t>Mode B</w:t>
            </w:r>
          </w:p>
        </w:tc>
      </w:tr>
      <w:tr w:rsidR="00381972" w:rsidTr="00381972">
        <w:tc>
          <w:tcPr>
            <w:tcW w:w="2531" w:type="dxa"/>
            <w:shd w:val="clear" w:color="auto" w:fill="FBD4B4" w:themeFill="accent6" w:themeFillTint="66"/>
            <w:vAlign w:val="center"/>
          </w:tcPr>
          <w:p w:rsidR="00381972" w:rsidRPr="00265EC1" w:rsidRDefault="00381972" w:rsidP="00381972">
            <w:pPr>
              <w:pStyle w:val="Tabletext"/>
              <w:spacing w:before="20" w:after="20"/>
              <w:jc w:val="center"/>
              <w:rPr>
                <w:lang w:val="en-US" w:eastAsia="ja-JP"/>
              </w:rPr>
            </w:pPr>
            <w:r w:rsidRPr="00381972">
              <w:rPr>
                <w:lang w:val="en-US" w:eastAsia="ja-JP"/>
              </w:rPr>
              <w:t>Indoor Hotspot - eMBB</w:t>
            </w:r>
          </w:p>
        </w:tc>
        <w:tc>
          <w:tcPr>
            <w:tcW w:w="2856" w:type="dxa"/>
            <w:vAlign w:val="center"/>
          </w:tcPr>
          <w:p w:rsidR="00381972" w:rsidRPr="00381972" w:rsidRDefault="00381972" w:rsidP="00381972">
            <w:pPr>
              <w:pStyle w:val="Tabletext"/>
              <w:spacing w:before="20" w:after="20"/>
              <w:jc w:val="center"/>
              <w:rPr>
                <w:lang w:val="en-US" w:eastAsia="ja-JP"/>
              </w:rPr>
            </w:pPr>
            <w:r w:rsidRPr="00381972">
              <w:rPr>
                <w:lang w:val="en-US" w:eastAsia="ja-JP"/>
              </w:rPr>
              <w:t xml:space="preserve">4G: </w:t>
            </w:r>
            <w:r w:rsidR="00950CD1">
              <w:rPr>
                <w:lang w:val="en-US" w:eastAsia="ja-JP"/>
              </w:rPr>
              <w:t>3.20</w:t>
            </w:r>
          </w:p>
        </w:tc>
        <w:tc>
          <w:tcPr>
            <w:tcW w:w="2835" w:type="dxa"/>
            <w:vAlign w:val="center"/>
          </w:tcPr>
          <w:p w:rsidR="00381972" w:rsidRPr="00381972" w:rsidRDefault="00381972" w:rsidP="00381972">
            <w:pPr>
              <w:pStyle w:val="Tabletext"/>
              <w:spacing w:before="20" w:after="20"/>
              <w:jc w:val="center"/>
              <w:rPr>
                <w:lang w:val="en-US" w:eastAsia="ja-JP"/>
              </w:rPr>
            </w:pPr>
            <w:r w:rsidRPr="00381972">
              <w:rPr>
                <w:lang w:val="en-US" w:eastAsia="ja-JP"/>
              </w:rPr>
              <w:t xml:space="preserve">4G: </w:t>
            </w:r>
            <w:r w:rsidR="00950CD1">
              <w:rPr>
                <w:lang w:val="en-US" w:eastAsia="ja-JP"/>
              </w:rPr>
              <w:t>3.83</w:t>
            </w:r>
          </w:p>
        </w:tc>
      </w:tr>
      <w:tr w:rsidR="00381972" w:rsidTr="00381972">
        <w:tc>
          <w:tcPr>
            <w:tcW w:w="2531" w:type="dxa"/>
            <w:shd w:val="clear" w:color="auto" w:fill="FBD4B4" w:themeFill="accent6" w:themeFillTint="66"/>
            <w:vAlign w:val="center"/>
          </w:tcPr>
          <w:p w:rsidR="00381972" w:rsidRPr="00381972" w:rsidRDefault="00381972" w:rsidP="00381972">
            <w:pPr>
              <w:pStyle w:val="Tabletext"/>
              <w:spacing w:before="20" w:after="20"/>
              <w:jc w:val="center"/>
              <w:rPr>
                <w:lang w:val="en-US" w:eastAsia="ja-JP"/>
              </w:rPr>
            </w:pPr>
            <w:r w:rsidRPr="00381972">
              <w:rPr>
                <w:rFonts w:hint="eastAsia"/>
                <w:lang w:val="en-US" w:eastAsia="ja-JP"/>
              </w:rPr>
              <w:t xml:space="preserve">Dense Urban </w:t>
            </w:r>
            <w:r w:rsidRPr="00381972">
              <w:rPr>
                <w:lang w:val="en-US" w:eastAsia="ja-JP"/>
              </w:rPr>
              <w:t>–</w:t>
            </w:r>
            <w:r w:rsidRPr="00381972">
              <w:rPr>
                <w:rFonts w:hint="eastAsia"/>
                <w:lang w:val="en-US" w:eastAsia="ja-JP"/>
              </w:rPr>
              <w:t xml:space="preserve"> e</w:t>
            </w:r>
            <w:r w:rsidRPr="00381972">
              <w:rPr>
                <w:lang w:val="en-US" w:eastAsia="ja-JP"/>
              </w:rPr>
              <w:t>MBB</w:t>
            </w:r>
          </w:p>
        </w:tc>
        <w:tc>
          <w:tcPr>
            <w:tcW w:w="2856" w:type="dxa"/>
            <w:vAlign w:val="center"/>
          </w:tcPr>
          <w:p w:rsidR="00381972" w:rsidRPr="00381972" w:rsidRDefault="00381972" w:rsidP="00381972">
            <w:pPr>
              <w:pStyle w:val="Tabletext"/>
              <w:spacing w:before="20" w:after="20"/>
              <w:jc w:val="center"/>
              <w:rPr>
                <w:lang w:val="en-US" w:eastAsia="ja-JP"/>
              </w:rPr>
            </w:pPr>
            <w:r w:rsidRPr="00381972">
              <w:rPr>
                <w:lang w:val="en-US" w:eastAsia="ja-JP"/>
              </w:rPr>
              <w:t xml:space="preserve">4G: </w:t>
            </w:r>
            <w:r w:rsidR="00950CD1">
              <w:rPr>
                <w:lang w:val="en-US" w:eastAsia="ja-JP"/>
              </w:rPr>
              <w:t>10.63</w:t>
            </w:r>
          </w:p>
        </w:tc>
        <w:tc>
          <w:tcPr>
            <w:tcW w:w="2835" w:type="dxa"/>
            <w:vAlign w:val="center"/>
          </w:tcPr>
          <w:p w:rsidR="00381972" w:rsidRPr="00381972" w:rsidRDefault="00381972" w:rsidP="00381972">
            <w:pPr>
              <w:pStyle w:val="Tabletext"/>
              <w:spacing w:before="20" w:after="20"/>
              <w:jc w:val="center"/>
              <w:rPr>
                <w:lang w:val="en-US" w:eastAsia="ja-JP"/>
              </w:rPr>
            </w:pPr>
            <w:r w:rsidRPr="00381972">
              <w:rPr>
                <w:lang w:val="en-US" w:eastAsia="ja-JP"/>
              </w:rPr>
              <w:t>4G:</w:t>
            </w:r>
            <w:r w:rsidR="00950CD1">
              <w:rPr>
                <w:lang w:val="en-US" w:eastAsia="ja-JP"/>
              </w:rPr>
              <w:t>11.05</w:t>
            </w:r>
          </w:p>
        </w:tc>
      </w:tr>
      <w:tr w:rsidR="00381972" w:rsidTr="00381972">
        <w:tc>
          <w:tcPr>
            <w:tcW w:w="2531" w:type="dxa"/>
            <w:shd w:val="clear" w:color="auto" w:fill="FBD4B4" w:themeFill="accent6" w:themeFillTint="66"/>
            <w:vAlign w:val="center"/>
          </w:tcPr>
          <w:p w:rsidR="00381972" w:rsidRPr="00381972" w:rsidRDefault="00381972" w:rsidP="00381972">
            <w:pPr>
              <w:pStyle w:val="Tabletext"/>
              <w:spacing w:before="20" w:after="20"/>
              <w:jc w:val="center"/>
              <w:rPr>
                <w:lang w:val="en-US" w:eastAsia="ja-JP"/>
              </w:rPr>
            </w:pPr>
            <w:r w:rsidRPr="00381972">
              <w:rPr>
                <w:rFonts w:hint="eastAsia"/>
                <w:lang w:val="en-US" w:eastAsia="ja-JP"/>
              </w:rPr>
              <w:t>Rural - e</w:t>
            </w:r>
            <w:r w:rsidRPr="00381972">
              <w:rPr>
                <w:lang w:val="en-US" w:eastAsia="ja-JP"/>
              </w:rPr>
              <w:t>MBB</w:t>
            </w:r>
          </w:p>
        </w:tc>
        <w:tc>
          <w:tcPr>
            <w:tcW w:w="2856" w:type="dxa"/>
            <w:vAlign w:val="center"/>
          </w:tcPr>
          <w:p w:rsidR="00381972" w:rsidRPr="00381972" w:rsidRDefault="00381972" w:rsidP="00381972">
            <w:pPr>
              <w:pStyle w:val="Tabletext"/>
              <w:spacing w:before="20" w:after="20"/>
              <w:jc w:val="center"/>
              <w:rPr>
                <w:lang w:val="en-US" w:eastAsia="ja-JP"/>
              </w:rPr>
            </w:pPr>
            <w:r w:rsidRPr="00381972">
              <w:rPr>
                <w:lang w:val="en-US" w:eastAsia="ja-JP"/>
              </w:rPr>
              <w:t xml:space="preserve">4G: </w:t>
            </w:r>
            <w:r w:rsidR="00950CD1">
              <w:rPr>
                <w:lang w:val="en-US" w:eastAsia="ja-JP"/>
              </w:rPr>
              <w:t>7.42</w:t>
            </w:r>
          </w:p>
          <w:p w:rsidR="00381972" w:rsidRPr="00381972" w:rsidRDefault="00381972" w:rsidP="00381972">
            <w:pPr>
              <w:pStyle w:val="Tabletext"/>
              <w:spacing w:before="20" w:after="20"/>
              <w:jc w:val="center"/>
              <w:rPr>
                <w:lang w:val="en-US" w:eastAsia="ja-JP"/>
              </w:rPr>
            </w:pPr>
            <w:r w:rsidRPr="00381972">
              <w:rPr>
                <w:lang w:val="en-US" w:eastAsia="ja-JP"/>
              </w:rPr>
              <w:t xml:space="preserve">700M: </w:t>
            </w:r>
            <w:r w:rsidR="00950CD1">
              <w:rPr>
                <w:lang w:val="en-US" w:eastAsia="ja-JP"/>
              </w:rPr>
              <w:t>11.04</w:t>
            </w:r>
          </w:p>
        </w:tc>
        <w:tc>
          <w:tcPr>
            <w:tcW w:w="2835" w:type="dxa"/>
            <w:vAlign w:val="center"/>
          </w:tcPr>
          <w:p w:rsidR="00381972" w:rsidRPr="00381972" w:rsidRDefault="00381972" w:rsidP="00381972">
            <w:pPr>
              <w:pStyle w:val="Tabletext"/>
              <w:spacing w:before="20" w:after="20"/>
              <w:jc w:val="center"/>
              <w:rPr>
                <w:lang w:val="en-US" w:eastAsia="ja-JP"/>
              </w:rPr>
            </w:pPr>
            <w:r w:rsidRPr="00381972">
              <w:rPr>
                <w:lang w:val="en-US" w:eastAsia="ja-JP"/>
              </w:rPr>
              <w:t xml:space="preserve">4G: </w:t>
            </w:r>
            <w:r w:rsidR="00950CD1">
              <w:rPr>
                <w:lang w:val="en-US" w:eastAsia="ja-JP"/>
              </w:rPr>
              <w:t>6.66</w:t>
            </w:r>
          </w:p>
          <w:p w:rsidR="00381972" w:rsidRPr="00381972" w:rsidRDefault="00381972" w:rsidP="00381972">
            <w:pPr>
              <w:pStyle w:val="Tabletext"/>
              <w:spacing w:before="20" w:after="20"/>
              <w:jc w:val="center"/>
              <w:rPr>
                <w:lang w:val="en-US" w:eastAsia="ja-JP"/>
              </w:rPr>
            </w:pPr>
            <w:r w:rsidRPr="00381972">
              <w:rPr>
                <w:lang w:val="en-US" w:eastAsia="ja-JP"/>
              </w:rPr>
              <w:t xml:space="preserve">700M: </w:t>
            </w:r>
            <w:r w:rsidR="00950CD1">
              <w:rPr>
                <w:lang w:val="en-US" w:eastAsia="ja-JP"/>
              </w:rPr>
              <w:t>10.90</w:t>
            </w:r>
          </w:p>
        </w:tc>
      </w:tr>
    </w:tbl>
    <w:p w:rsidR="00265EC1" w:rsidRPr="00265EC1" w:rsidRDefault="00265EC1" w:rsidP="00265EC1">
      <w:pPr>
        <w:widowControl/>
        <w:spacing w:afterLines="50" w:after="156" w:line="400" w:lineRule="exact"/>
        <w:jc w:val="center"/>
        <w:rPr>
          <w:rFonts w:ascii="Times New Roman" w:eastAsia="宋体" w:hAnsi="Times New Roman" w:cs="Times New Roman"/>
          <w:kern w:val="0"/>
          <w:sz w:val="20"/>
          <w:szCs w:val="20"/>
        </w:rPr>
      </w:pPr>
    </w:p>
    <w:p w:rsidR="00A43AD7" w:rsidRPr="00A43AD7" w:rsidRDefault="00A43AD7" w:rsidP="00A43AD7">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lastRenderedPageBreak/>
        <w:t>Link level part</w:t>
      </w:r>
    </w:p>
    <w:p w:rsidR="003E2E03" w:rsidRDefault="00C37C35" w:rsidP="00D177CF">
      <w:pPr>
        <w:widowControl/>
        <w:spacing w:afterLines="50" w:after="156"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median SINR values, we obtained the uplink spectral efficiency values (link data rate normalized by channel bandwidth) form the link level simulations. Table 3 captured the evaluated values compared with ITU requirements.</w:t>
      </w:r>
    </w:p>
    <w:p w:rsidR="00E236DA" w:rsidRDefault="00E236DA" w:rsidP="00E236DA">
      <w:pPr>
        <w:widowControl/>
        <w:spacing w:afterLines="50" w:after="156" w:line="400" w:lineRule="exact"/>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TABLE 3</w:t>
      </w:r>
    </w:p>
    <w:p w:rsidR="00E236DA" w:rsidRPr="00E236DA" w:rsidRDefault="00E236DA" w:rsidP="00E236DA">
      <w:pPr>
        <w:pStyle w:val="Tabletitle"/>
        <w:rPr>
          <w:lang w:val="en-US" w:eastAsia="ja-JP"/>
        </w:rPr>
      </w:pPr>
      <w:r w:rsidRPr="00E236DA">
        <w:rPr>
          <w:lang w:val="en-US" w:eastAsia="ja-JP"/>
        </w:rPr>
        <w:t xml:space="preserve">Evaluation </w:t>
      </w:r>
      <w:r>
        <w:rPr>
          <w:lang w:val="en-US" w:eastAsia="ja-JP"/>
        </w:rPr>
        <w:t>results of</w:t>
      </w:r>
      <w:r w:rsidRPr="00E236DA">
        <w:rPr>
          <w:lang w:val="en-US" w:eastAsia="ja-JP"/>
        </w:rPr>
        <w:t xml:space="preserve"> mobility</w:t>
      </w:r>
    </w:p>
    <w:tbl>
      <w:tblPr>
        <w:tblStyle w:val="a7"/>
        <w:tblW w:w="5000" w:type="pct"/>
        <w:tblLook w:val="01E0" w:firstRow="1" w:lastRow="1" w:firstColumn="1" w:lastColumn="1" w:noHBand="0" w:noVBand="0"/>
      </w:tblPr>
      <w:tblGrid>
        <w:gridCol w:w="2780"/>
        <w:gridCol w:w="1521"/>
        <w:gridCol w:w="1521"/>
        <w:gridCol w:w="1238"/>
        <w:gridCol w:w="1462"/>
      </w:tblGrid>
      <w:tr w:rsidR="00D54E15" w:rsidRPr="005A47AE" w:rsidTr="00D54E15">
        <w:tc>
          <w:tcPr>
            <w:tcW w:w="1658" w:type="pct"/>
            <w:vMerge w:val="restart"/>
            <w:shd w:val="clear" w:color="auto" w:fill="FBD4B4" w:themeFill="accent6" w:themeFillTint="66"/>
            <w:vAlign w:val="center"/>
          </w:tcPr>
          <w:p w:rsidR="00D54E15" w:rsidRPr="005A47AE" w:rsidRDefault="00D54E15" w:rsidP="00C37C35">
            <w:pPr>
              <w:pStyle w:val="Tablehead"/>
              <w:spacing w:before="20" w:after="20"/>
              <w:rPr>
                <w:lang w:val="en-US"/>
              </w:rPr>
            </w:pPr>
            <w:r w:rsidRPr="005A47AE">
              <w:rPr>
                <w:lang w:val="en-US"/>
              </w:rPr>
              <w:t>Test environment</w:t>
            </w:r>
          </w:p>
        </w:tc>
        <w:tc>
          <w:tcPr>
            <w:tcW w:w="919" w:type="pct"/>
            <w:vMerge w:val="restart"/>
            <w:shd w:val="clear" w:color="auto" w:fill="FBD4B4" w:themeFill="accent6" w:themeFillTint="66"/>
            <w:vAlign w:val="center"/>
          </w:tcPr>
          <w:p w:rsidR="00D54E15" w:rsidRDefault="00D54E15" w:rsidP="00CE5B4C">
            <w:pPr>
              <w:pStyle w:val="Tablehead"/>
              <w:spacing w:before="20" w:after="20"/>
              <w:rPr>
                <w:lang w:val="en-US"/>
              </w:rPr>
            </w:pPr>
            <w:r>
              <w:rPr>
                <w:lang w:val="en-US"/>
              </w:rPr>
              <w:t>F</w:t>
            </w:r>
            <w:r>
              <w:rPr>
                <w:rFonts w:hint="eastAsia"/>
                <w:lang w:val="en-US"/>
              </w:rPr>
              <w:t>req</w:t>
            </w:r>
            <w:r>
              <w:rPr>
                <w:lang w:val="en-US"/>
              </w:rPr>
              <w:t>(Hz)</w:t>
            </w:r>
          </w:p>
        </w:tc>
        <w:tc>
          <w:tcPr>
            <w:tcW w:w="1672" w:type="pct"/>
            <w:gridSpan w:val="2"/>
            <w:shd w:val="clear" w:color="auto" w:fill="FBD4B4" w:themeFill="accent6" w:themeFillTint="66"/>
            <w:vAlign w:val="center"/>
          </w:tcPr>
          <w:p w:rsidR="00D54E15" w:rsidRPr="005A47AE" w:rsidRDefault="00D54E15" w:rsidP="00C37C35">
            <w:pPr>
              <w:pStyle w:val="Tablehead"/>
              <w:spacing w:before="20" w:after="20"/>
              <w:rPr>
                <w:lang w:val="en-US" w:eastAsia="zh-CN"/>
              </w:rPr>
            </w:pPr>
            <w:r>
              <w:rPr>
                <w:rFonts w:hint="eastAsia"/>
                <w:lang w:val="en-US" w:eastAsia="zh-CN"/>
              </w:rPr>
              <w:t>Simulation(</w:t>
            </w:r>
            <w:r w:rsidRPr="005A47AE">
              <w:t>Bit/s/Hz</w:t>
            </w:r>
            <w:r>
              <w:rPr>
                <w:rFonts w:hint="eastAsia"/>
                <w:lang w:val="en-US" w:eastAsia="zh-CN"/>
              </w:rPr>
              <w:t>)</w:t>
            </w:r>
          </w:p>
        </w:tc>
        <w:tc>
          <w:tcPr>
            <w:tcW w:w="751" w:type="pct"/>
            <w:vMerge w:val="restart"/>
            <w:shd w:val="clear" w:color="auto" w:fill="FBD4B4" w:themeFill="accent6" w:themeFillTint="66"/>
          </w:tcPr>
          <w:p w:rsidR="00D54E15" w:rsidRDefault="00D54E15" w:rsidP="00C37C35">
            <w:pPr>
              <w:pStyle w:val="Tablehead"/>
              <w:spacing w:before="20" w:after="20"/>
              <w:rPr>
                <w:lang w:val="en-US" w:eastAsia="zh-CN"/>
              </w:rPr>
            </w:pPr>
            <w:r>
              <w:rPr>
                <w:lang w:val="en-US"/>
              </w:rPr>
              <w:t>Req.</w:t>
            </w:r>
            <w:r w:rsidRPr="005A47AE">
              <w:rPr>
                <w:lang w:val="en-US" w:eastAsia="ja-JP"/>
              </w:rPr>
              <w:t xml:space="preserve"> (</w:t>
            </w:r>
            <w:r w:rsidRPr="005A47AE">
              <w:t>Bit/s/Hz)</w:t>
            </w:r>
          </w:p>
        </w:tc>
      </w:tr>
      <w:tr w:rsidR="00D54E15" w:rsidRPr="005A47AE" w:rsidTr="00D54E15">
        <w:tc>
          <w:tcPr>
            <w:tcW w:w="1658" w:type="pct"/>
            <w:vMerge/>
            <w:shd w:val="clear" w:color="auto" w:fill="FBD4B4" w:themeFill="accent6" w:themeFillTint="66"/>
            <w:vAlign w:val="center"/>
          </w:tcPr>
          <w:p w:rsidR="00D54E15" w:rsidRDefault="00D54E15" w:rsidP="00C37C35">
            <w:pPr>
              <w:pStyle w:val="Tablehead"/>
              <w:spacing w:before="20" w:after="20"/>
              <w:rPr>
                <w:lang w:val="en-US"/>
              </w:rPr>
            </w:pPr>
          </w:p>
        </w:tc>
        <w:tc>
          <w:tcPr>
            <w:tcW w:w="919" w:type="pct"/>
            <w:vMerge/>
            <w:shd w:val="clear" w:color="auto" w:fill="FBD4B4" w:themeFill="accent6" w:themeFillTint="66"/>
          </w:tcPr>
          <w:p w:rsidR="00D54E15" w:rsidRDefault="00D54E15" w:rsidP="00C37C35">
            <w:pPr>
              <w:pStyle w:val="Tablehead"/>
              <w:tabs>
                <w:tab w:val="clear" w:pos="1134"/>
                <w:tab w:val="left" w:pos="740"/>
              </w:tabs>
              <w:spacing w:before="20" w:after="20"/>
              <w:rPr>
                <w:lang w:val="en-US" w:eastAsia="zh-CN"/>
              </w:rPr>
            </w:pPr>
          </w:p>
        </w:tc>
        <w:tc>
          <w:tcPr>
            <w:tcW w:w="919" w:type="pct"/>
            <w:shd w:val="clear" w:color="auto" w:fill="FBD4B4" w:themeFill="accent6" w:themeFillTint="66"/>
            <w:vAlign w:val="center"/>
          </w:tcPr>
          <w:p w:rsidR="00D54E15" w:rsidRDefault="00D54E15" w:rsidP="00C37C35">
            <w:pPr>
              <w:pStyle w:val="Tablehead"/>
              <w:tabs>
                <w:tab w:val="clear" w:pos="1134"/>
                <w:tab w:val="left" w:pos="740"/>
              </w:tabs>
              <w:spacing w:before="20" w:after="20"/>
              <w:rPr>
                <w:lang w:val="en-US" w:eastAsia="zh-CN"/>
              </w:rPr>
            </w:pPr>
            <w:r>
              <w:rPr>
                <w:lang w:val="en-US" w:eastAsia="zh-CN"/>
              </w:rPr>
              <w:t>Mode A</w:t>
            </w:r>
          </w:p>
        </w:tc>
        <w:tc>
          <w:tcPr>
            <w:tcW w:w="753" w:type="pct"/>
            <w:shd w:val="clear" w:color="auto" w:fill="FBD4B4" w:themeFill="accent6" w:themeFillTint="66"/>
            <w:vAlign w:val="center"/>
          </w:tcPr>
          <w:p w:rsidR="00D54E15" w:rsidRDefault="00D54E15" w:rsidP="00C37C35">
            <w:pPr>
              <w:pStyle w:val="Tablehead"/>
              <w:spacing w:before="20" w:after="20"/>
              <w:rPr>
                <w:lang w:val="en-US" w:eastAsia="zh-CN"/>
              </w:rPr>
            </w:pPr>
            <w:r w:rsidRPr="00C37C35">
              <w:rPr>
                <w:lang w:val="en-US" w:eastAsia="zh-CN"/>
              </w:rPr>
              <w:t>Mode B</w:t>
            </w:r>
          </w:p>
        </w:tc>
        <w:tc>
          <w:tcPr>
            <w:tcW w:w="751" w:type="pct"/>
            <w:vMerge/>
            <w:shd w:val="clear" w:color="auto" w:fill="FBD4B4" w:themeFill="accent6" w:themeFillTint="66"/>
          </w:tcPr>
          <w:p w:rsidR="00D54E15" w:rsidRPr="00C37C35" w:rsidRDefault="00D54E15" w:rsidP="00C37C35">
            <w:pPr>
              <w:pStyle w:val="Tablehead"/>
              <w:spacing w:before="20" w:after="20"/>
              <w:rPr>
                <w:lang w:val="en-US" w:eastAsia="zh-CN"/>
              </w:rPr>
            </w:pPr>
          </w:p>
        </w:tc>
      </w:tr>
      <w:tr w:rsidR="00D54E15" w:rsidRPr="005A47AE" w:rsidTr="00D54E15">
        <w:tc>
          <w:tcPr>
            <w:tcW w:w="1658" w:type="pct"/>
            <w:shd w:val="clear" w:color="auto" w:fill="FBD4B4" w:themeFill="accent6" w:themeFillTint="66"/>
            <w:vAlign w:val="center"/>
            <w:hideMark/>
          </w:tcPr>
          <w:p w:rsidR="00D54E15" w:rsidRPr="005A47AE" w:rsidRDefault="00D54E15" w:rsidP="00D54E15">
            <w:pPr>
              <w:pStyle w:val="Tabletext"/>
              <w:spacing w:before="20" w:after="20"/>
              <w:jc w:val="center"/>
              <w:rPr>
                <w:lang w:val="en-US" w:eastAsia="ja-JP"/>
              </w:rPr>
            </w:pPr>
            <w:r w:rsidRPr="005A47AE">
              <w:rPr>
                <w:lang w:val="en-US"/>
              </w:rPr>
              <w:t>Indoor</w:t>
            </w:r>
            <w:r w:rsidRPr="005A47AE">
              <w:rPr>
                <w:lang w:val="en-US" w:eastAsia="ja-JP"/>
              </w:rPr>
              <w:t xml:space="preserve"> Hotspot – eMBB</w:t>
            </w:r>
          </w:p>
        </w:tc>
        <w:tc>
          <w:tcPr>
            <w:tcW w:w="919" w:type="pct"/>
          </w:tcPr>
          <w:p w:rsidR="00D54E15" w:rsidRDefault="00D54E15" w:rsidP="00D54E15">
            <w:pPr>
              <w:pStyle w:val="Tabletext"/>
              <w:spacing w:before="20" w:after="20"/>
              <w:jc w:val="center"/>
              <w:rPr>
                <w:lang w:val="en-US" w:eastAsia="zh-CN"/>
              </w:rPr>
            </w:pPr>
            <w:r>
              <w:rPr>
                <w:rFonts w:hint="eastAsia"/>
                <w:lang w:val="en-US" w:eastAsia="zh-CN"/>
              </w:rPr>
              <w:t>4G</w:t>
            </w:r>
          </w:p>
        </w:tc>
        <w:tc>
          <w:tcPr>
            <w:tcW w:w="919" w:type="pct"/>
            <w:tcBorders>
              <w:righ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1.88</w:t>
            </w:r>
          </w:p>
        </w:tc>
        <w:tc>
          <w:tcPr>
            <w:tcW w:w="753" w:type="pct"/>
            <w:tcBorders>
              <w:lef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1.88</w:t>
            </w:r>
          </w:p>
        </w:tc>
        <w:tc>
          <w:tcPr>
            <w:tcW w:w="751" w:type="pct"/>
            <w:tcBorders>
              <w:left w:val="single" w:sz="4" w:space="0" w:color="auto"/>
            </w:tcBorders>
            <w:vAlign w:val="center"/>
          </w:tcPr>
          <w:p w:rsidR="00D54E15" w:rsidRPr="005A47AE" w:rsidRDefault="00D54E15" w:rsidP="00525686">
            <w:pPr>
              <w:pStyle w:val="Tabletext"/>
              <w:spacing w:before="20" w:after="20"/>
              <w:jc w:val="center"/>
              <w:rPr>
                <w:lang w:val="en-US" w:eastAsia="ja-JP"/>
              </w:rPr>
            </w:pPr>
            <w:r w:rsidRPr="005A47AE">
              <w:t>1.5</w:t>
            </w:r>
            <w:r w:rsidR="00525686">
              <w:t>@</w:t>
            </w:r>
            <w:r w:rsidR="001F6F59">
              <w:t>10km/h</w:t>
            </w:r>
          </w:p>
        </w:tc>
      </w:tr>
      <w:tr w:rsidR="00D54E15" w:rsidRPr="005A47AE" w:rsidTr="00D54E15">
        <w:tc>
          <w:tcPr>
            <w:tcW w:w="1658" w:type="pct"/>
            <w:shd w:val="clear" w:color="auto" w:fill="FBD4B4" w:themeFill="accent6" w:themeFillTint="66"/>
            <w:vAlign w:val="center"/>
            <w:hideMark/>
          </w:tcPr>
          <w:p w:rsidR="00D54E15" w:rsidRPr="005A47AE" w:rsidRDefault="00D54E15" w:rsidP="00D54E15">
            <w:pPr>
              <w:pStyle w:val="Tabletext"/>
              <w:spacing w:before="20" w:after="20"/>
              <w:jc w:val="center"/>
              <w:rPr>
                <w:lang w:val="en-US" w:eastAsia="ja-JP"/>
              </w:rPr>
            </w:pPr>
            <w:r w:rsidRPr="005A47AE">
              <w:rPr>
                <w:lang w:val="en-US" w:eastAsia="ja-JP"/>
              </w:rPr>
              <w:t>Dense Urban – eMBB</w:t>
            </w:r>
          </w:p>
        </w:tc>
        <w:tc>
          <w:tcPr>
            <w:tcW w:w="919" w:type="pct"/>
          </w:tcPr>
          <w:p w:rsidR="00D54E15" w:rsidRDefault="00D54E15" w:rsidP="00D54E15">
            <w:pPr>
              <w:pStyle w:val="Tabletext"/>
              <w:spacing w:before="20" w:after="20"/>
              <w:jc w:val="center"/>
              <w:rPr>
                <w:lang w:val="en-US" w:eastAsia="zh-CN"/>
              </w:rPr>
            </w:pPr>
            <w:r>
              <w:rPr>
                <w:rFonts w:hint="eastAsia"/>
                <w:lang w:val="en-US" w:eastAsia="zh-CN"/>
              </w:rPr>
              <w:t>4G</w:t>
            </w:r>
          </w:p>
        </w:tc>
        <w:tc>
          <w:tcPr>
            <w:tcW w:w="919" w:type="pct"/>
            <w:tcBorders>
              <w:righ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2.1</w:t>
            </w:r>
            <w:r w:rsidR="005A1DE0">
              <w:rPr>
                <w:lang w:val="en-US" w:eastAsia="zh-CN"/>
              </w:rPr>
              <w:t>1</w:t>
            </w:r>
          </w:p>
        </w:tc>
        <w:tc>
          <w:tcPr>
            <w:tcW w:w="753" w:type="pct"/>
            <w:tcBorders>
              <w:lef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2.1</w:t>
            </w:r>
          </w:p>
        </w:tc>
        <w:tc>
          <w:tcPr>
            <w:tcW w:w="751" w:type="pct"/>
            <w:tcBorders>
              <w:left w:val="single" w:sz="4" w:space="0" w:color="auto"/>
            </w:tcBorders>
            <w:vAlign w:val="center"/>
          </w:tcPr>
          <w:p w:rsidR="00D54E15" w:rsidRPr="005A47AE" w:rsidRDefault="00D54E15" w:rsidP="00525686">
            <w:pPr>
              <w:pStyle w:val="Tabletext"/>
              <w:spacing w:before="20" w:after="20"/>
              <w:jc w:val="center"/>
              <w:rPr>
                <w:lang w:val="en-US" w:eastAsia="ja-JP"/>
              </w:rPr>
            </w:pPr>
            <w:r w:rsidRPr="005A47AE">
              <w:t>1.12</w:t>
            </w:r>
            <w:r w:rsidR="00525686">
              <w:t>@</w:t>
            </w:r>
            <w:r w:rsidR="001F6F59">
              <w:t>30km/h</w:t>
            </w:r>
          </w:p>
        </w:tc>
      </w:tr>
      <w:tr w:rsidR="00D54E15" w:rsidRPr="005A47AE" w:rsidTr="00D54E15">
        <w:tc>
          <w:tcPr>
            <w:tcW w:w="1658" w:type="pct"/>
            <w:vMerge w:val="restart"/>
            <w:shd w:val="clear" w:color="auto" w:fill="FBD4B4" w:themeFill="accent6" w:themeFillTint="66"/>
            <w:vAlign w:val="center"/>
            <w:hideMark/>
          </w:tcPr>
          <w:p w:rsidR="00D54E15" w:rsidRPr="005A47AE" w:rsidRDefault="00D54E15" w:rsidP="00D54E15">
            <w:pPr>
              <w:pStyle w:val="Tabletext"/>
              <w:spacing w:before="20" w:after="20"/>
              <w:jc w:val="center"/>
              <w:rPr>
                <w:lang w:val="en-US" w:eastAsia="ja-JP"/>
              </w:rPr>
            </w:pPr>
            <w:r w:rsidRPr="005A47AE">
              <w:rPr>
                <w:lang w:val="en-US" w:eastAsia="ja-JP"/>
              </w:rPr>
              <w:t>Rural – eMBB</w:t>
            </w:r>
          </w:p>
        </w:tc>
        <w:tc>
          <w:tcPr>
            <w:tcW w:w="919" w:type="pct"/>
          </w:tcPr>
          <w:p w:rsidR="00D54E15" w:rsidRDefault="00D54E15" w:rsidP="00D54E15">
            <w:pPr>
              <w:pStyle w:val="Tabletext"/>
              <w:spacing w:before="20" w:after="20"/>
              <w:jc w:val="center"/>
              <w:rPr>
                <w:lang w:val="en-US" w:eastAsia="zh-CN"/>
              </w:rPr>
            </w:pPr>
            <w:r>
              <w:rPr>
                <w:rFonts w:hint="eastAsia"/>
                <w:lang w:val="en-US" w:eastAsia="zh-CN"/>
              </w:rPr>
              <w:t>700M</w:t>
            </w:r>
          </w:p>
        </w:tc>
        <w:tc>
          <w:tcPr>
            <w:tcW w:w="919" w:type="pct"/>
            <w:tcBorders>
              <w:righ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2.12</w:t>
            </w:r>
          </w:p>
        </w:tc>
        <w:tc>
          <w:tcPr>
            <w:tcW w:w="753" w:type="pct"/>
            <w:tcBorders>
              <w:lef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2.12</w:t>
            </w:r>
          </w:p>
        </w:tc>
        <w:tc>
          <w:tcPr>
            <w:tcW w:w="751" w:type="pct"/>
            <w:vMerge w:val="restart"/>
            <w:tcBorders>
              <w:left w:val="single" w:sz="4" w:space="0" w:color="auto"/>
            </w:tcBorders>
            <w:vAlign w:val="center"/>
          </w:tcPr>
          <w:p w:rsidR="00D54E15" w:rsidRPr="005A47AE" w:rsidRDefault="00D54E15" w:rsidP="00525686">
            <w:pPr>
              <w:pStyle w:val="Tabletext"/>
              <w:spacing w:before="20" w:after="20"/>
              <w:jc w:val="center"/>
              <w:rPr>
                <w:lang w:val="en-US" w:eastAsia="ja-JP"/>
              </w:rPr>
            </w:pPr>
            <w:r w:rsidRPr="005A47AE">
              <w:t>0.8</w:t>
            </w:r>
            <w:r w:rsidR="00525686">
              <w:t>@</w:t>
            </w:r>
            <w:r w:rsidR="00F43152">
              <w:t>120km/h</w:t>
            </w:r>
          </w:p>
        </w:tc>
      </w:tr>
      <w:tr w:rsidR="00D54E15" w:rsidRPr="005A47AE" w:rsidTr="00D54E15">
        <w:tc>
          <w:tcPr>
            <w:tcW w:w="1658" w:type="pct"/>
            <w:vMerge/>
            <w:shd w:val="clear" w:color="auto" w:fill="FBD4B4" w:themeFill="accent6" w:themeFillTint="66"/>
            <w:vAlign w:val="center"/>
          </w:tcPr>
          <w:p w:rsidR="00D54E15" w:rsidRPr="005A47AE" w:rsidRDefault="00D54E15" w:rsidP="00D54E15">
            <w:pPr>
              <w:pStyle w:val="Tabletext"/>
              <w:spacing w:before="20" w:after="20"/>
              <w:jc w:val="center"/>
              <w:rPr>
                <w:lang w:val="en-US" w:eastAsia="ja-JP"/>
              </w:rPr>
            </w:pPr>
          </w:p>
        </w:tc>
        <w:tc>
          <w:tcPr>
            <w:tcW w:w="919" w:type="pct"/>
          </w:tcPr>
          <w:p w:rsidR="00D54E15" w:rsidRDefault="00D54E15" w:rsidP="00D54E15">
            <w:pPr>
              <w:pStyle w:val="Tabletext"/>
              <w:spacing w:before="20" w:after="20"/>
              <w:jc w:val="center"/>
              <w:rPr>
                <w:lang w:val="en-US" w:eastAsia="zh-CN"/>
              </w:rPr>
            </w:pPr>
            <w:r>
              <w:rPr>
                <w:rFonts w:hint="eastAsia"/>
                <w:lang w:val="en-US" w:eastAsia="zh-CN"/>
              </w:rPr>
              <w:t>4G</w:t>
            </w:r>
          </w:p>
        </w:tc>
        <w:tc>
          <w:tcPr>
            <w:tcW w:w="919" w:type="pct"/>
            <w:tcBorders>
              <w:right w:val="single" w:sz="4" w:space="0" w:color="auto"/>
            </w:tcBorders>
            <w:vAlign w:val="center"/>
          </w:tcPr>
          <w:p w:rsidR="00D54E15" w:rsidRDefault="00D54E15" w:rsidP="00D54E15">
            <w:pPr>
              <w:pStyle w:val="Tabletext"/>
              <w:spacing w:before="20" w:after="20"/>
              <w:jc w:val="center"/>
              <w:rPr>
                <w:lang w:val="en-US" w:eastAsia="zh-CN"/>
              </w:rPr>
            </w:pPr>
            <w:r>
              <w:rPr>
                <w:rFonts w:hint="eastAsia"/>
                <w:lang w:val="en-US" w:eastAsia="zh-CN"/>
              </w:rPr>
              <w:t>1.53</w:t>
            </w:r>
          </w:p>
        </w:tc>
        <w:tc>
          <w:tcPr>
            <w:tcW w:w="753" w:type="pct"/>
            <w:tcBorders>
              <w:left w:val="single" w:sz="4" w:space="0" w:color="auto"/>
            </w:tcBorders>
            <w:vAlign w:val="center"/>
          </w:tcPr>
          <w:p w:rsidR="00D54E15" w:rsidRDefault="00D54E15" w:rsidP="00D54E15">
            <w:pPr>
              <w:pStyle w:val="Tabletext"/>
              <w:spacing w:before="20" w:after="20"/>
              <w:jc w:val="center"/>
              <w:rPr>
                <w:lang w:val="en-US" w:eastAsia="zh-CN"/>
              </w:rPr>
            </w:pPr>
            <w:r>
              <w:rPr>
                <w:rFonts w:hint="eastAsia"/>
                <w:lang w:val="en-US" w:eastAsia="zh-CN"/>
              </w:rPr>
              <w:t>1.53</w:t>
            </w:r>
          </w:p>
        </w:tc>
        <w:tc>
          <w:tcPr>
            <w:tcW w:w="751" w:type="pct"/>
            <w:vMerge/>
            <w:tcBorders>
              <w:left w:val="single" w:sz="4" w:space="0" w:color="auto"/>
            </w:tcBorders>
            <w:vAlign w:val="center"/>
          </w:tcPr>
          <w:p w:rsidR="00D54E15" w:rsidRDefault="00D54E15" w:rsidP="00D54E15">
            <w:pPr>
              <w:pStyle w:val="Tabletext"/>
              <w:spacing w:before="20" w:after="20"/>
              <w:jc w:val="center"/>
              <w:rPr>
                <w:lang w:val="en-US" w:eastAsia="zh-CN"/>
              </w:rPr>
            </w:pPr>
          </w:p>
        </w:tc>
      </w:tr>
      <w:tr w:rsidR="00D54E15" w:rsidRPr="005A47AE" w:rsidTr="00D54E15">
        <w:tc>
          <w:tcPr>
            <w:tcW w:w="1658" w:type="pct"/>
            <w:vMerge/>
            <w:shd w:val="clear" w:color="auto" w:fill="FBD4B4" w:themeFill="accent6" w:themeFillTint="66"/>
            <w:vAlign w:val="center"/>
            <w:hideMark/>
          </w:tcPr>
          <w:p w:rsidR="00D54E15" w:rsidRPr="005A47AE" w:rsidRDefault="00D54E15" w:rsidP="00D54E15">
            <w:pPr>
              <w:pStyle w:val="Tabletext"/>
              <w:spacing w:before="20" w:after="20"/>
              <w:jc w:val="center"/>
              <w:rPr>
                <w:lang w:val="en-US" w:eastAsia="ja-JP"/>
              </w:rPr>
            </w:pPr>
          </w:p>
        </w:tc>
        <w:tc>
          <w:tcPr>
            <w:tcW w:w="919" w:type="pct"/>
          </w:tcPr>
          <w:p w:rsidR="00D54E15" w:rsidRDefault="00D54E15" w:rsidP="00D54E15">
            <w:pPr>
              <w:pStyle w:val="Tabletext"/>
              <w:spacing w:before="20" w:after="20"/>
              <w:jc w:val="center"/>
              <w:rPr>
                <w:lang w:val="en-US" w:eastAsia="zh-CN"/>
              </w:rPr>
            </w:pPr>
            <w:r>
              <w:rPr>
                <w:rFonts w:hint="eastAsia"/>
                <w:lang w:val="en-US" w:eastAsia="zh-CN"/>
              </w:rPr>
              <w:t>700M</w:t>
            </w:r>
          </w:p>
        </w:tc>
        <w:tc>
          <w:tcPr>
            <w:tcW w:w="919" w:type="pct"/>
            <w:tcBorders>
              <w:righ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1.92</w:t>
            </w:r>
          </w:p>
        </w:tc>
        <w:tc>
          <w:tcPr>
            <w:tcW w:w="753" w:type="pct"/>
            <w:tcBorders>
              <w:left w:val="single" w:sz="4" w:space="0" w:color="auto"/>
            </w:tcBorders>
            <w:vAlign w:val="center"/>
          </w:tcPr>
          <w:p w:rsidR="00D54E15" w:rsidRPr="005A47AE" w:rsidRDefault="00D54E15" w:rsidP="00D54E15">
            <w:pPr>
              <w:pStyle w:val="Tabletext"/>
              <w:spacing w:before="20" w:after="20"/>
              <w:jc w:val="center"/>
              <w:rPr>
                <w:lang w:val="en-US" w:eastAsia="zh-CN"/>
              </w:rPr>
            </w:pPr>
            <w:r>
              <w:rPr>
                <w:rFonts w:hint="eastAsia"/>
                <w:lang w:val="en-US" w:eastAsia="zh-CN"/>
              </w:rPr>
              <w:t>1.92</w:t>
            </w:r>
          </w:p>
        </w:tc>
        <w:tc>
          <w:tcPr>
            <w:tcW w:w="751" w:type="pct"/>
            <w:vMerge w:val="restart"/>
            <w:tcBorders>
              <w:left w:val="single" w:sz="4" w:space="0" w:color="auto"/>
            </w:tcBorders>
            <w:vAlign w:val="center"/>
          </w:tcPr>
          <w:p w:rsidR="00D54E15" w:rsidRPr="005A47AE" w:rsidRDefault="00D54E15" w:rsidP="00525686">
            <w:pPr>
              <w:pStyle w:val="Tabletext"/>
              <w:jc w:val="center"/>
              <w:rPr>
                <w:lang w:val="en-US" w:eastAsia="ja-JP"/>
              </w:rPr>
            </w:pPr>
            <w:r w:rsidRPr="005A47AE">
              <w:t>0.45</w:t>
            </w:r>
            <w:r w:rsidR="00525686">
              <w:t>@</w:t>
            </w:r>
            <w:r w:rsidR="00F43152">
              <w:t>500km/h</w:t>
            </w:r>
          </w:p>
        </w:tc>
      </w:tr>
      <w:tr w:rsidR="00D54E15" w:rsidRPr="005A47AE" w:rsidTr="00D54E15">
        <w:tc>
          <w:tcPr>
            <w:tcW w:w="1658" w:type="pct"/>
            <w:vMerge/>
            <w:shd w:val="clear" w:color="auto" w:fill="FBD4B4" w:themeFill="accent6" w:themeFillTint="66"/>
            <w:vAlign w:val="center"/>
          </w:tcPr>
          <w:p w:rsidR="00D54E15" w:rsidRPr="005A47AE" w:rsidRDefault="00D54E15" w:rsidP="00D54E15">
            <w:pPr>
              <w:pStyle w:val="Tabletext"/>
              <w:spacing w:before="20" w:after="20"/>
              <w:jc w:val="center"/>
              <w:rPr>
                <w:lang w:val="en-US" w:eastAsia="ja-JP"/>
              </w:rPr>
            </w:pPr>
          </w:p>
        </w:tc>
        <w:tc>
          <w:tcPr>
            <w:tcW w:w="919" w:type="pct"/>
          </w:tcPr>
          <w:p w:rsidR="00D54E15" w:rsidRDefault="00D54E15" w:rsidP="00D54E15">
            <w:pPr>
              <w:pStyle w:val="Tabletext"/>
              <w:spacing w:before="20" w:after="20"/>
              <w:jc w:val="center"/>
              <w:rPr>
                <w:lang w:val="en-US" w:eastAsia="zh-CN"/>
              </w:rPr>
            </w:pPr>
            <w:r>
              <w:rPr>
                <w:rFonts w:hint="eastAsia"/>
                <w:lang w:val="en-US" w:eastAsia="zh-CN"/>
              </w:rPr>
              <w:t>4G</w:t>
            </w:r>
          </w:p>
        </w:tc>
        <w:tc>
          <w:tcPr>
            <w:tcW w:w="919" w:type="pct"/>
            <w:tcBorders>
              <w:right w:val="single" w:sz="4" w:space="0" w:color="auto"/>
            </w:tcBorders>
            <w:vAlign w:val="center"/>
          </w:tcPr>
          <w:p w:rsidR="00D54E15" w:rsidRDefault="00D54E15" w:rsidP="00D54E15">
            <w:pPr>
              <w:pStyle w:val="Tabletext"/>
              <w:spacing w:before="20" w:after="20"/>
              <w:jc w:val="center"/>
              <w:rPr>
                <w:lang w:val="en-US" w:eastAsia="zh-CN"/>
              </w:rPr>
            </w:pPr>
            <w:r>
              <w:rPr>
                <w:lang w:val="en-US" w:eastAsia="zh-CN"/>
              </w:rPr>
              <w:t>1.18</w:t>
            </w:r>
          </w:p>
        </w:tc>
        <w:tc>
          <w:tcPr>
            <w:tcW w:w="753" w:type="pct"/>
            <w:tcBorders>
              <w:left w:val="single" w:sz="4" w:space="0" w:color="auto"/>
            </w:tcBorders>
            <w:vAlign w:val="center"/>
          </w:tcPr>
          <w:p w:rsidR="00D54E15" w:rsidRDefault="00D54E15" w:rsidP="00D54E15">
            <w:pPr>
              <w:pStyle w:val="Tabletext"/>
              <w:spacing w:before="20" w:after="20"/>
              <w:jc w:val="center"/>
              <w:rPr>
                <w:lang w:val="en-US" w:eastAsia="zh-CN"/>
              </w:rPr>
            </w:pPr>
            <w:r>
              <w:rPr>
                <w:rFonts w:hint="eastAsia"/>
                <w:lang w:val="en-US" w:eastAsia="zh-CN"/>
              </w:rPr>
              <w:t>1.18</w:t>
            </w:r>
          </w:p>
        </w:tc>
        <w:tc>
          <w:tcPr>
            <w:tcW w:w="751" w:type="pct"/>
            <w:vMerge/>
            <w:tcBorders>
              <w:left w:val="single" w:sz="4" w:space="0" w:color="auto"/>
            </w:tcBorders>
            <w:vAlign w:val="center"/>
          </w:tcPr>
          <w:p w:rsidR="00D54E15" w:rsidRDefault="00D54E15" w:rsidP="00D54E15">
            <w:pPr>
              <w:pStyle w:val="Tabletext"/>
              <w:spacing w:before="20" w:after="20"/>
              <w:jc w:val="center"/>
              <w:rPr>
                <w:lang w:val="en-US" w:eastAsia="zh-CN"/>
              </w:rPr>
            </w:pPr>
          </w:p>
        </w:tc>
      </w:tr>
    </w:tbl>
    <w:p w:rsidR="00A43AD7" w:rsidRDefault="00A43AD7" w:rsidP="00DF3412"/>
    <w:p w:rsidR="00147B53" w:rsidRDefault="00147B53" w:rsidP="00A31F53">
      <w:pPr>
        <w:widowControl/>
        <w:spacing w:afterLines="50" w:after="156"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our simulation, i</w:t>
      </w:r>
      <w:r w:rsidR="00D30ACB">
        <w:rPr>
          <w:rFonts w:ascii="Times New Roman" w:eastAsia="宋体" w:hAnsi="Times New Roman" w:cs="Times New Roman" w:hint="eastAsia"/>
          <w:kern w:val="0"/>
          <w:sz w:val="20"/>
          <w:szCs w:val="20"/>
        </w:rPr>
        <w:t>t</w:t>
      </w:r>
      <w:r w:rsidR="00D30ACB">
        <w:rPr>
          <w:rFonts w:ascii="Times New Roman" w:eastAsia="宋体" w:hAnsi="Times New Roman" w:cs="Times New Roman"/>
          <w:kern w:val="0"/>
          <w:sz w:val="20"/>
          <w:szCs w:val="20"/>
        </w:rPr>
        <w:t xml:space="preserve">’s observed that </w:t>
      </w:r>
      <w:r w:rsidR="00DC27A5">
        <w:rPr>
          <w:rFonts w:ascii="Times New Roman" w:eastAsia="宋体" w:hAnsi="Times New Roman" w:cs="Times New Roman"/>
          <w:kern w:val="0"/>
          <w:sz w:val="20"/>
          <w:szCs w:val="20"/>
        </w:rPr>
        <w:t xml:space="preserve">all the three test environments can fulfill the IMT-2020 requirements on </w:t>
      </w:r>
      <w:r>
        <w:rPr>
          <w:rFonts w:ascii="Times New Roman" w:eastAsia="宋体" w:hAnsi="Times New Roman" w:cs="Times New Roman"/>
          <w:kern w:val="0"/>
          <w:sz w:val="20"/>
          <w:szCs w:val="20"/>
        </w:rPr>
        <w:t xml:space="preserve">eMBB </w:t>
      </w:r>
      <w:r w:rsidR="00DC27A5">
        <w:rPr>
          <w:rFonts w:ascii="Times New Roman" w:eastAsia="宋体" w:hAnsi="Times New Roman" w:cs="Times New Roman"/>
          <w:kern w:val="0"/>
          <w:sz w:val="20"/>
          <w:szCs w:val="20"/>
        </w:rPr>
        <w:t>mobility.</w:t>
      </w:r>
      <w:r w:rsidR="00DC27A5">
        <w:rPr>
          <w:rFonts w:ascii="Times New Roman" w:eastAsia="宋体" w:hAnsi="Times New Roman" w:cs="Times New Roman" w:hint="eastAsia"/>
          <w:kern w:val="0"/>
          <w:sz w:val="20"/>
          <w:szCs w:val="20"/>
        </w:rPr>
        <w:t xml:space="preserve"> </w:t>
      </w:r>
      <w:r w:rsidR="00DC27A5">
        <w:rPr>
          <w:rFonts w:ascii="Times New Roman" w:eastAsia="宋体" w:hAnsi="Times New Roman" w:cs="Times New Roman"/>
          <w:kern w:val="0"/>
          <w:sz w:val="20"/>
          <w:szCs w:val="20"/>
        </w:rPr>
        <w:t xml:space="preserve">Another observation is that </w:t>
      </w:r>
      <w:r w:rsidR="00D30ACB">
        <w:rPr>
          <w:rFonts w:ascii="Times New Roman" w:eastAsia="宋体" w:hAnsi="Times New Roman" w:cs="Times New Roman"/>
          <w:kern w:val="0"/>
          <w:sz w:val="20"/>
          <w:szCs w:val="20"/>
        </w:rPr>
        <w:t>although the median SINR values are slight different betwe</w:t>
      </w:r>
      <w:r w:rsidR="00992A53">
        <w:rPr>
          <w:rFonts w:ascii="Times New Roman" w:eastAsia="宋体" w:hAnsi="Times New Roman" w:cs="Times New Roman"/>
          <w:kern w:val="0"/>
          <w:sz w:val="20"/>
          <w:szCs w:val="20"/>
        </w:rPr>
        <w:t xml:space="preserve">en </w:t>
      </w:r>
      <w:r w:rsidR="00DC27A5">
        <w:rPr>
          <w:rFonts w:ascii="Times New Roman" w:eastAsia="宋体" w:hAnsi="Times New Roman" w:cs="Times New Roman"/>
          <w:kern w:val="0"/>
          <w:sz w:val="20"/>
          <w:szCs w:val="20"/>
        </w:rPr>
        <w:t>channel mode A and B</w:t>
      </w:r>
      <w:r w:rsidR="00D30ACB">
        <w:rPr>
          <w:rFonts w:ascii="Times New Roman" w:eastAsia="宋体" w:hAnsi="Times New Roman" w:cs="Times New Roman"/>
          <w:kern w:val="0"/>
          <w:sz w:val="20"/>
          <w:szCs w:val="20"/>
        </w:rPr>
        <w:t>, but the spectral efficiency values</w:t>
      </w:r>
      <w:r w:rsidR="00992A53">
        <w:rPr>
          <w:rFonts w:ascii="Times New Roman" w:eastAsia="宋体" w:hAnsi="Times New Roman" w:cs="Times New Roman"/>
          <w:kern w:val="0"/>
          <w:sz w:val="20"/>
          <w:szCs w:val="20"/>
        </w:rPr>
        <w:t xml:space="preserve"> obtained from</w:t>
      </w:r>
      <w:r w:rsidR="00D30ACB">
        <w:rPr>
          <w:rFonts w:ascii="Times New Roman" w:eastAsia="宋体" w:hAnsi="Times New Roman" w:cs="Times New Roman"/>
          <w:kern w:val="0"/>
          <w:sz w:val="20"/>
          <w:szCs w:val="20"/>
        </w:rPr>
        <w:t xml:space="preserve"> link level simulation are almost same. </w:t>
      </w:r>
      <w:r w:rsidR="00DC27A5">
        <w:rPr>
          <w:rFonts w:ascii="Times New Roman" w:eastAsia="宋体" w:hAnsi="Times New Roman" w:cs="Times New Roman"/>
          <w:kern w:val="0"/>
          <w:sz w:val="20"/>
          <w:szCs w:val="20"/>
        </w:rPr>
        <w:t xml:space="preserve">So </w:t>
      </w:r>
      <w:r w:rsidR="009856B4">
        <w:rPr>
          <w:rFonts w:ascii="Times New Roman" w:eastAsia="宋体" w:hAnsi="Times New Roman" w:cs="Times New Roman"/>
          <w:kern w:val="0"/>
          <w:sz w:val="20"/>
          <w:szCs w:val="20"/>
        </w:rPr>
        <w:t>we suggest</w:t>
      </w:r>
      <w:r w:rsidR="00992A53">
        <w:rPr>
          <w:rFonts w:ascii="Times New Roman" w:eastAsia="宋体" w:hAnsi="Times New Roman" w:cs="Times New Roman"/>
          <w:kern w:val="0"/>
          <w:sz w:val="20"/>
          <w:szCs w:val="20"/>
        </w:rPr>
        <w:t xml:space="preserve"> to</w:t>
      </w:r>
      <w:r w:rsidR="00DC27A5">
        <w:rPr>
          <w:rFonts w:ascii="Times New Roman" w:eastAsia="宋体" w:hAnsi="Times New Roman" w:cs="Times New Roman"/>
          <w:kern w:val="0"/>
          <w:sz w:val="20"/>
          <w:szCs w:val="20"/>
        </w:rPr>
        <w:t xml:space="preserve"> evaluate </w:t>
      </w:r>
      <w:r w:rsidR="00992A53">
        <w:rPr>
          <w:rFonts w:ascii="Times New Roman" w:eastAsia="宋体" w:hAnsi="Times New Roman" w:cs="Times New Roman"/>
          <w:kern w:val="0"/>
          <w:sz w:val="20"/>
          <w:szCs w:val="20"/>
        </w:rPr>
        <w:t xml:space="preserve">only </w:t>
      </w:r>
      <w:r w:rsidR="00DC27A5">
        <w:rPr>
          <w:rFonts w:ascii="Times New Roman" w:eastAsia="宋体" w:hAnsi="Times New Roman" w:cs="Times New Roman"/>
          <w:kern w:val="0"/>
          <w:sz w:val="20"/>
          <w:szCs w:val="20"/>
        </w:rPr>
        <w:t>one channel mode (</w:t>
      </w:r>
      <w:r w:rsidR="00DC27A5">
        <w:rPr>
          <w:rFonts w:ascii="Times New Roman" w:eastAsia="宋体" w:hAnsi="Times New Roman" w:cs="Times New Roman" w:hint="eastAsia"/>
          <w:kern w:val="0"/>
          <w:sz w:val="20"/>
          <w:szCs w:val="20"/>
        </w:rPr>
        <w:t>e</w:t>
      </w:r>
      <w:r w:rsidR="00DC27A5">
        <w:rPr>
          <w:rFonts w:ascii="Times New Roman" w:eastAsia="宋体" w:hAnsi="Times New Roman" w:cs="Times New Roman"/>
          <w:kern w:val="0"/>
          <w:sz w:val="20"/>
          <w:szCs w:val="20"/>
        </w:rPr>
        <w:t>.g. Mode A) to reduce workload of the mobility evaluation.</w:t>
      </w:r>
    </w:p>
    <w:p w:rsidR="00A31F53" w:rsidRPr="002001F6" w:rsidRDefault="00A16449" w:rsidP="00A31F53">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Observation: NR can</w:t>
      </w:r>
      <w:r w:rsidR="00A31F53" w:rsidRPr="002001F6">
        <w:rPr>
          <w:rFonts w:ascii="Times New Roman" w:eastAsia="宋体" w:hAnsi="Times New Roman" w:cs="Times New Roman"/>
          <w:b/>
          <w:i/>
          <w:kern w:val="0"/>
          <w:sz w:val="20"/>
          <w:szCs w:val="20"/>
        </w:rPr>
        <w:t xml:space="preserve"> fulfi</w:t>
      </w:r>
      <w:r w:rsidR="00147B53">
        <w:rPr>
          <w:rFonts w:ascii="Times New Roman" w:eastAsia="宋体" w:hAnsi="Times New Roman" w:cs="Times New Roman"/>
          <w:b/>
          <w:i/>
          <w:kern w:val="0"/>
          <w:sz w:val="20"/>
          <w:szCs w:val="20"/>
        </w:rPr>
        <w:t>ll the IMT-2020 requirements on</w:t>
      </w:r>
      <w:r w:rsidR="00147B53" w:rsidRPr="00147B53">
        <w:rPr>
          <w:rFonts w:ascii="Times New Roman" w:eastAsia="宋体" w:hAnsi="Times New Roman" w:cs="Times New Roman"/>
          <w:b/>
          <w:i/>
          <w:kern w:val="0"/>
          <w:sz w:val="20"/>
          <w:szCs w:val="20"/>
        </w:rPr>
        <w:t xml:space="preserve"> eMBB mobility</w:t>
      </w:r>
      <w:r w:rsidR="00A31F53" w:rsidRPr="002001F6">
        <w:rPr>
          <w:rFonts w:ascii="Times New Roman" w:eastAsia="宋体" w:hAnsi="Times New Roman" w:cs="Times New Roman"/>
          <w:b/>
          <w:i/>
          <w:kern w:val="0"/>
          <w:sz w:val="20"/>
          <w:szCs w:val="20"/>
        </w:rPr>
        <w:t>.</w:t>
      </w:r>
    </w:p>
    <w:p w:rsidR="00E973D5" w:rsidRDefault="00E973D5"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hint="eastAsia"/>
          <w:sz w:val="30"/>
          <w:szCs w:val="30"/>
        </w:rPr>
        <w:t>Conclusion</w:t>
      </w:r>
    </w:p>
    <w:p w:rsidR="00E973D5" w:rsidRDefault="007D3DA6" w:rsidP="007D3DA6">
      <w:pPr>
        <w:widowControl/>
        <w:spacing w:afterLines="50" w:after="156" w:line="400" w:lineRule="exact"/>
        <w:rPr>
          <w:rFonts w:ascii="Times New Roman" w:eastAsia="宋体" w:hAnsi="Times New Roman" w:cs="Times New Roman"/>
          <w:kern w:val="0"/>
          <w:sz w:val="20"/>
          <w:szCs w:val="20"/>
        </w:rPr>
      </w:pPr>
      <w:r w:rsidRPr="007D3DA6">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this contribution, </w:t>
      </w:r>
      <w:r w:rsidR="0054255A">
        <w:rPr>
          <w:rFonts w:ascii="Times New Roman" w:eastAsia="宋体" w:hAnsi="Times New Roman" w:cs="Times New Roman" w:hint="eastAsia"/>
          <w:kern w:val="0"/>
          <w:sz w:val="20"/>
          <w:szCs w:val="20"/>
        </w:rPr>
        <w:t xml:space="preserve">we </w:t>
      </w:r>
      <w:r w:rsidR="0054255A">
        <w:rPr>
          <w:rFonts w:ascii="Times New Roman" w:eastAsia="宋体" w:hAnsi="Times New Roman" w:cs="Times New Roman"/>
          <w:kern w:val="0"/>
          <w:sz w:val="20"/>
          <w:szCs w:val="20"/>
        </w:rPr>
        <w:t>provide</w:t>
      </w:r>
      <w:r w:rsidR="0054255A">
        <w:rPr>
          <w:rFonts w:ascii="Times New Roman" w:eastAsia="宋体" w:hAnsi="Times New Roman" w:cs="Times New Roman" w:hint="eastAsia"/>
          <w:kern w:val="0"/>
          <w:sz w:val="20"/>
          <w:szCs w:val="20"/>
        </w:rPr>
        <w:t xml:space="preserve"> </w:t>
      </w:r>
      <w:r w:rsidR="0054255A">
        <w:rPr>
          <w:rFonts w:ascii="Times New Roman" w:eastAsia="宋体" w:hAnsi="Times New Roman" w:cs="Times New Roman"/>
          <w:kern w:val="0"/>
          <w:sz w:val="20"/>
          <w:szCs w:val="20"/>
        </w:rPr>
        <w:t xml:space="preserve">initial evaluation results for </w:t>
      </w:r>
      <w:r w:rsidR="004331E8" w:rsidRPr="004331E8">
        <w:rPr>
          <w:rFonts w:ascii="Times New Roman" w:eastAsia="宋体" w:hAnsi="Times New Roman" w:cs="Times New Roman"/>
          <w:kern w:val="0"/>
          <w:sz w:val="20"/>
          <w:szCs w:val="20"/>
        </w:rPr>
        <w:t>eMBB mobility</w:t>
      </w:r>
      <w:r w:rsidR="0054255A">
        <w:rPr>
          <w:rFonts w:ascii="Times New Roman" w:eastAsia="宋体" w:hAnsi="Times New Roman" w:cs="Times New Roman"/>
          <w:kern w:val="0"/>
          <w:sz w:val="20"/>
          <w:szCs w:val="20"/>
        </w:rPr>
        <w:t xml:space="preserve">. As we </w:t>
      </w:r>
      <w:r w:rsidR="00371A7C">
        <w:rPr>
          <w:rFonts w:ascii="Times New Roman" w:eastAsia="宋体" w:hAnsi="Times New Roman" w:cs="Times New Roman"/>
          <w:kern w:val="0"/>
          <w:sz w:val="20"/>
          <w:szCs w:val="20"/>
        </w:rPr>
        <w:t xml:space="preserve">can </w:t>
      </w:r>
      <w:r w:rsidR="0054255A">
        <w:rPr>
          <w:rFonts w:ascii="Times New Roman" w:eastAsia="宋体" w:hAnsi="Times New Roman" w:cs="Times New Roman"/>
          <w:kern w:val="0"/>
          <w:sz w:val="20"/>
          <w:szCs w:val="20"/>
        </w:rPr>
        <w:t>see, the simulation results are o</w:t>
      </w:r>
      <w:r w:rsidR="0054255A" w:rsidRPr="0054255A">
        <w:rPr>
          <w:rFonts w:ascii="Times New Roman" w:eastAsia="宋体" w:hAnsi="Times New Roman" w:cs="Times New Roman"/>
          <w:kern w:val="0"/>
          <w:sz w:val="20"/>
          <w:szCs w:val="20"/>
        </w:rPr>
        <w:t>bviously</w:t>
      </w:r>
      <w:r w:rsidR="0054255A">
        <w:rPr>
          <w:rFonts w:ascii="Times New Roman" w:eastAsia="宋体" w:hAnsi="Times New Roman" w:cs="Times New Roman"/>
          <w:kern w:val="0"/>
          <w:sz w:val="20"/>
          <w:szCs w:val="20"/>
        </w:rPr>
        <w:t xml:space="preserve"> larger than ITU requirements and we get </w:t>
      </w:r>
      <w:r w:rsidR="00451280">
        <w:rPr>
          <w:rFonts w:ascii="Times New Roman" w:eastAsia="宋体" w:hAnsi="Times New Roman" w:cs="Times New Roman"/>
          <w:kern w:val="0"/>
          <w:sz w:val="20"/>
          <w:szCs w:val="20"/>
        </w:rPr>
        <w:t>an</w:t>
      </w:r>
      <w:r w:rsidR="0054255A">
        <w:rPr>
          <w:rFonts w:ascii="Times New Roman" w:eastAsia="宋体" w:hAnsi="Times New Roman" w:cs="Times New Roman"/>
          <w:kern w:val="0"/>
          <w:sz w:val="20"/>
          <w:szCs w:val="20"/>
        </w:rPr>
        <w:t xml:space="preserve"> obs</w:t>
      </w:r>
      <w:r w:rsidR="00037BA5">
        <w:rPr>
          <w:rFonts w:ascii="Times New Roman" w:eastAsia="宋体" w:hAnsi="Times New Roman" w:cs="Times New Roman"/>
          <w:kern w:val="0"/>
          <w:sz w:val="20"/>
          <w:szCs w:val="20"/>
        </w:rPr>
        <w:t>ervation that,</w:t>
      </w:r>
    </w:p>
    <w:p w:rsidR="009948EC" w:rsidRPr="002001F6" w:rsidRDefault="009948EC" w:rsidP="009948EC">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Observation: NR can fulfi</w:t>
      </w:r>
      <w:r>
        <w:rPr>
          <w:rFonts w:ascii="Times New Roman" w:eastAsia="宋体" w:hAnsi="Times New Roman" w:cs="Times New Roman"/>
          <w:b/>
          <w:i/>
          <w:kern w:val="0"/>
          <w:sz w:val="20"/>
          <w:szCs w:val="20"/>
        </w:rPr>
        <w:t>ll the IMT-2020 requirements on</w:t>
      </w:r>
      <w:r w:rsidRPr="00147B53">
        <w:rPr>
          <w:rFonts w:ascii="Times New Roman" w:eastAsia="宋体" w:hAnsi="Times New Roman" w:cs="Times New Roman"/>
          <w:b/>
          <w:i/>
          <w:kern w:val="0"/>
          <w:sz w:val="20"/>
          <w:szCs w:val="20"/>
        </w:rPr>
        <w:t xml:space="preserve"> eMBB mobility</w:t>
      </w:r>
      <w:r w:rsidRPr="002001F6">
        <w:rPr>
          <w:rFonts w:ascii="Times New Roman" w:eastAsia="宋体" w:hAnsi="Times New Roman" w:cs="Times New Roman"/>
          <w:b/>
          <w:i/>
          <w:kern w:val="0"/>
          <w:sz w:val="20"/>
          <w:szCs w:val="20"/>
        </w:rPr>
        <w:t>.</w:t>
      </w:r>
    </w:p>
    <w:p w:rsidR="008702A5" w:rsidRDefault="008702A5" w:rsidP="0007114A">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sz w:val="30"/>
          <w:szCs w:val="30"/>
        </w:rPr>
        <w:t>Appendix A</w:t>
      </w:r>
    </w:p>
    <w:p w:rsidR="00836F6E" w:rsidRPr="00A84D31" w:rsidRDefault="00B228E4" w:rsidP="00836F6E">
      <w:pPr>
        <w:widowControl/>
        <w:spacing w:afterLines="50" w:after="156" w:line="400" w:lineRule="exact"/>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TABLE 4</w:t>
      </w:r>
    </w:p>
    <w:p w:rsidR="00836F6E" w:rsidRDefault="00836F6E" w:rsidP="00836F6E">
      <w:pPr>
        <w:pStyle w:val="Tabletitle"/>
        <w:rPr>
          <w:lang w:val="en-US" w:eastAsia="ja-JP"/>
        </w:rPr>
      </w:pPr>
      <w:r>
        <w:rPr>
          <w:lang w:val="en-US" w:eastAsia="ja-JP"/>
        </w:rPr>
        <w:t>System</w:t>
      </w:r>
      <w:r w:rsidRPr="00A84D31">
        <w:rPr>
          <w:lang w:val="en-US" w:eastAsia="ja-JP"/>
        </w:rPr>
        <w:t xml:space="preserve"> level </w:t>
      </w:r>
      <w:r w:rsidR="00F260BC">
        <w:rPr>
          <w:lang w:val="en-US" w:eastAsia="ja-JP"/>
        </w:rPr>
        <w:t xml:space="preserve">evaluation </w:t>
      </w:r>
      <w:r w:rsidRPr="00A84D31">
        <w:rPr>
          <w:lang w:val="en-US" w:eastAsia="ja-JP"/>
        </w:rPr>
        <w:t>assumptions</w:t>
      </w:r>
    </w:p>
    <w:p w:rsidR="00C17D80" w:rsidRDefault="00C17D80" w:rsidP="00C17D80">
      <w:pPr>
        <w:pStyle w:val="Tabletext"/>
        <w:rPr>
          <w:rFonts w:eastAsia="MS Mincho"/>
          <w:lang w:val="en-US" w:eastAsia="ja-JP"/>
        </w:rPr>
      </w:pPr>
    </w:p>
    <w:tbl>
      <w:tblPr>
        <w:tblStyle w:val="a7"/>
        <w:tblW w:w="5000" w:type="pct"/>
        <w:tblLook w:val="04A0" w:firstRow="1" w:lastRow="0" w:firstColumn="1" w:lastColumn="0" w:noHBand="0" w:noVBand="1"/>
      </w:tblPr>
      <w:tblGrid>
        <w:gridCol w:w="1705"/>
        <w:gridCol w:w="1705"/>
        <w:gridCol w:w="1704"/>
        <w:gridCol w:w="1704"/>
        <w:gridCol w:w="1704"/>
      </w:tblGrid>
      <w:tr w:rsidR="000567A5" w:rsidTr="00C66894">
        <w:tc>
          <w:tcPr>
            <w:tcW w:w="1000" w:type="pct"/>
            <w:shd w:val="clear" w:color="auto" w:fill="FBD4B4" w:themeFill="accent6" w:themeFillTint="66"/>
            <w:vAlign w:val="center"/>
          </w:tcPr>
          <w:p w:rsidR="000567A5" w:rsidRPr="00C66894" w:rsidRDefault="000567A5" w:rsidP="00C66894">
            <w:pPr>
              <w:pStyle w:val="Tablehead"/>
              <w:spacing w:before="20" w:after="20"/>
              <w:rPr>
                <w:lang w:val="en-US"/>
              </w:rPr>
            </w:pPr>
            <w:r w:rsidRPr="00C66894">
              <w:rPr>
                <w:lang w:val="en-US"/>
              </w:rPr>
              <w:t>Technical configuration Parameters</w:t>
            </w:r>
          </w:p>
        </w:tc>
        <w:tc>
          <w:tcPr>
            <w:tcW w:w="1000" w:type="pct"/>
            <w:shd w:val="clear" w:color="auto" w:fill="FBD4B4" w:themeFill="accent6" w:themeFillTint="66"/>
            <w:vAlign w:val="center"/>
          </w:tcPr>
          <w:p w:rsidR="000567A5" w:rsidRPr="00C66894" w:rsidRDefault="000567A5" w:rsidP="00C66894">
            <w:pPr>
              <w:pStyle w:val="Tablehead"/>
              <w:spacing w:before="20" w:after="20"/>
              <w:rPr>
                <w:lang w:val="en-US"/>
              </w:rPr>
            </w:pPr>
            <w:r w:rsidRPr="00C66894">
              <w:rPr>
                <w:lang w:val="en-US"/>
              </w:rPr>
              <w:t>Reference value</w:t>
            </w:r>
          </w:p>
        </w:tc>
        <w:tc>
          <w:tcPr>
            <w:tcW w:w="1000" w:type="pct"/>
            <w:shd w:val="clear" w:color="auto" w:fill="FBD4B4" w:themeFill="accent6" w:themeFillTint="66"/>
            <w:vAlign w:val="center"/>
          </w:tcPr>
          <w:p w:rsidR="000567A5" w:rsidRPr="00C66894" w:rsidRDefault="00C66894" w:rsidP="00C66894">
            <w:pPr>
              <w:pStyle w:val="Tablehead"/>
              <w:spacing w:before="20" w:after="20"/>
              <w:rPr>
                <w:lang w:val="en-US"/>
              </w:rPr>
            </w:pPr>
            <w:r w:rsidRPr="00C66894">
              <w:rPr>
                <w:rFonts w:hint="eastAsia"/>
                <w:lang w:val="en-US"/>
              </w:rPr>
              <w:t>Indoor Hotspot</w:t>
            </w:r>
          </w:p>
        </w:tc>
        <w:tc>
          <w:tcPr>
            <w:tcW w:w="1000" w:type="pct"/>
            <w:shd w:val="clear" w:color="auto" w:fill="FBD4B4" w:themeFill="accent6" w:themeFillTint="66"/>
            <w:vAlign w:val="center"/>
          </w:tcPr>
          <w:p w:rsidR="000567A5" w:rsidRPr="00C66894" w:rsidRDefault="00C66894" w:rsidP="00C66894">
            <w:pPr>
              <w:pStyle w:val="Tablehead"/>
              <w:spacing w:before="20" w:after="20"/>
              <w:rPr>
                <w:lang w:val="en-US"/>
              </w:rPr>
            </w:pPr>
            <w:r w:rsidRPr="00C66894">
              <w:rPr>
                <w:rFonts w:hint="eastAsia"/>
                <w:lang w:val="en-US"/>
              </w:rPr>
              <w:t>Dense Urban</w:t>
            </w:r>
          </w:p>
        </w:tc>
        <w:tc>
          <w:tcPr>
            <w:tcW w:w="1000" w:type="pct"/>
            <w:shd w:val="clear" w:color="auto" w:fill="FBD4B4" w:themeFill="accent6" w:themeFillTint="66"/>
            <w:vAlign w:val="center"/>
          </w:tcPr>
          <w:p w:rsidR="000567A5" w:rsidRPr="00C66894" w:rsidRDefault="00C66894" w:rsidP="00C66894">
            <w:pPr>
              <w:pStyle w:val="Tablehead"/>
              <w:spacing w:before="20" w:after="20"/>
              <w:rPr>
                <w:lang w:val="en-US"/>
              </w:rPr>
            </w:pPr>
            <w:r w:rsidRPr="00C66894">
              <w:rPr>
                <w:rFonts w:hint="eastAsia"/>
                <w:lang w:val="en-US"/>
              </w:rPr>
              <w:t>Rural</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Multiple access</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OFDMA</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 xml:space="preserve">Aligned with </w:t>
            </w:r>
            <w:r w:rsidRPr="00C66894">
              <w:rPr>
                <w:lang w:val="en-US" w:eastAsia="ja-JP"/>
              </w:rPr>
              <w:lastRenderedPageBreak/>
              <w:t>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lastRenderedPageBreak/>
              <w:t xml:space="preserve">Aligned with </w:t>
            </w:r>
            <w:r w:rsidRPr="00C66894">
              <w:rPr>
                <w:lang w:val="en-US" w:eastAsia="ja-JP"/>
              </w:rPr>
              <w:lastRenderedPageBreak/>
              <w:t>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lastRenderedPageBreak/>
              <w:t xml:space="preserve">Aligned with </w:t>
            </w:r>
            <w:r w:rsidRPr="00C66894">
              <w:rPr>
                <w:lang w:val="en-US" w:eastAsia="ja-JP"/>
              </w:rPr>
              <w:lastRenderedPageBreak/>
              <w:t>reference</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lastRenderedPageBreak/>
              <w:t>Duplexing</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C66894" w:rsidP="00C66894">
            <w:pPr>
              <w:pStyle w:val="Tabletext"/>
              <w:spacing w:before="20" w:after="20"/>
              <w:jc w:val="center"/>
              <w:rPr>
                <w:lang w:val="en-US" w:eastAsia="ja-JP"/>
              </w:rPr>
            </w:pPr>
            <w:r w:rsidRPr="00C66894">
              <w:rPr>
                <w:lang w:val="en-US" w:eastAsia="ja-JP"/>
              </w:rPr>
              <w:t>FDD</w:t>
            </w:r>
          </w:p>
        </w:tc>
        <w:tc>
          <w:tcPr>
            <w:tcW w:w="1000" w:type="pct"/>
            <w:vAlign w:val="center"/>
          </w:tcPr>
          <w:p w:rsidR="00B95777" w:rsidRPr="00C66894" w:rsidRDefault="00C66894" w:rsidP="00C66894">
            <w:pPr>
              <w:pStyle w:val="Tabletext"/>
              <w:spacing w:before="20" w:after="20"/>
              <w:jc w:val="center"/>
              <w:rPr>
                <w:lang w:val="en-US" w:eastAsia="ja-JP"/>
              </w:rPr>
            </w:pPr>
            <w:r w:rsidRPr="00C66894">
              <w:rPr>
                <w:lang w:val="en-US" w:eastAsia="ja-JP"/>
              </w:rPr>
              <w:t>FDD</w:t>
            </w:r>
          </w:p>
        </w:tc>
        <w:tc>
          <w:tcPr>
            <w:tcW w:w="1000" w:type="pct"/>
            <w:vAlign w:val="center"/>
          </w:tcPr>
          <w:p w:rsidR="00B95777" w:rsidRPr="00C66894" w:rsidRDefault="00C66894" w:rsidP="00C66894">
            <w:pPr>
              <w:pStyle w:val="Tabletext"/>
              <w:spacing w:before="20" w:after="20"/>
              <w:jc w:val="center"/>
              <w:rPr>
                <w:lang w:val="en-US" w:eastAsia="ja-JP"/>
              </w:rPr>
            </w:pPr>
            <w:r w:rsidRPr="00C66894">
              <w:rPr>
                <w:lang w:val="en-US" w:eastAsia="ja-JP"/>
              </w:rPr>
              <w:t>FDD</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Modulation</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Up to 256QAM</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Numerology</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C66894" w:rsidP="00C66894">
            <w:pPr>
              <w:pStyle w:val="Tabletext"/>
              <w:spacing w:before="20" w:after="20"/>
              <w:jc w:val="center"/>
              <w:rPr>
                <w:lang w:val="en-US" w:eastAsia="ja-JP"/>
              </w:rPr>
            </w:pPr>
            <w:r>
              <w:rPr>
                <w:lang w:val="en-US" w:eastAsia="ja-JP"/>
              </w:rPr>
              <w:t>15 kHz SCS</w:t>
            </w:r>
          </w:p>
        </w:tc>
        <w:tc>
          <w:tcPr>
            <w:tcW w:w="1000" w:type="pct"/>
            <w:vAlign w:val="center"/>
          </w:tcPr>
          <w:p w:rsidR="00B95777" w:rsidRPr="00C66894" w:rsidRDefault="00C66894" w:rsidP="00C66894">
            <w:pPr>
              <w:pStyle w:val="Tabletext"/>
              <w:spacing w:before="20" w:after="20"/>
              <w:jc w:val="center"/>
              <w:rPr>
                <w:lang w:val="en-US" w:eastAsia="ja-JP"/>
              </w:rPr>
            </w:pPr>
            <w:r>
              <w:rPr>
                <w:lang w:val="en-US" w:eastAsia="ja-JP"/>
              </w:rPr>
              <w:t>15 kHz SCS</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For 120 km/h: 15 kHz SCS</w:t>
            </w:r>
            <w:r w:rsidRPr="00C66894">
              <w:rPr>
                <w:lang w:val="en-US" w:eastAsia="ja-JP"/>
              </w:rPr>
              <w:br/>
              <w:t>For 500 km/h: 30 kHz SCS</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Simulation bandwdith</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C66894" w:rsidP="00C66894">
            <w:pPr>
              <w:pStyle w:val="Tabletext"/>
              <w:spacing w:before="20" w:after="20"/>
              <w:jc w:val="center"/>
              <w:rPr>
                <w:lang w:val="en-US" w:eastAsia="ja-JP"/>
              </w:rPr>
            </w:pPr>
            <w:r>
              <w:rPr>
                <w:lang w:val="en-US" w:eastAsia="ja-JP"/>
              </w:rPr>
              <w:t>10MHz</w:t>
            </w:r>
          </w:p>
        </w:tc>
        <w:tc>
          <w:tcPr>
            <w:tcW w:w="1000" w:type="pct"/>
            <w:vAlign w:val="center"/>
          </w:tcPr>
          <w:p w:rsidR="00B95777" w:rsidRPr="00C66894" w:rsidRDefault="00C66894" w:rsidP="00C66894">
            <w:pPr>
              <w:pStyle w:val="Tabletext"/>
              <w:spacing w:before="20" w:after="20"/>
              <w:jc w:val="center"/>
              <w:rPr>
                <w:lang w:val="en-US" w:eastAsia="ja-JP"/>
              </w:rPr>
            </w:pPr>
            <w:r>
              <w:rPr>
                <w:lang w:val="en-US" w:eastAsia="ja-JP"/>
              </w:rPr>
              <w:t>10MHz</w:t>
            </w:r>
          </w:p>
        </w:tc>
        <w:tc>
          <w:tcPr>
            <w:tcW w:w="1000" w:type="pct"/>
            <w:vAlign w:val="center"/>
          </w:tcPr>
          <w:p w:rsidR="00B95777" w:rsidRPr="00C66894" w:rsidRDefault="00C66894" w:rsidP="00C66894">
            <w:pPr>
              <w:pStyle w:val="Tabletext"/>
              <w:spacing w:before="20" w:after="20"/>
              <w:jc w:val="center"/>
              <w:rPr>
                <w:lang w:val="en-US" w:eastAsia="ja-JP"/>
              </w:rPr>
            </w:pPr>
            <w:r w:rsidRPr="00C66894">
              <w:rPr>
                <w:lang w:val="en-US" w:eastAsia="ja-JP"/>
              </w:rPr>
              <w:t>10MHz</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Transmission scheme</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UL SIMO</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UL SIMO</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UL SIMO</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UL codebook</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N/A</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N/A</w:t>
            </w:r>
          </w:p>
        </w:tc>
        <w:tc>
          <w:tcPr>
            <w:tcW w:w="1000" w:type="pct"/>
            <w:vAlign w:val="bottom"/>
          </w:tcPr>
          <w:p w:rsidR="00B95777" w:rsidRPr="00C66894" w:rsidRDefault="00B95777" w:rsidP="00C66894">
            <w:pPr>
              <w:pStyle w:val="Tabletext"/>
              <w:spacing w:before="20" w:after="20"/>
              <w:jc w:val="center"/>
              <w:rPr>
                <w:lang w:val="en-US" w:eastAsia="ja-JP"/>
              </w:rPr>
            </w:pPr>
            <w:r w:rsidRPr="00C66894">
              <w:rPr>
                <w:lang w:val="en-US" w:eastAsia="ja-JP"/>
              </w:rPr>
              <w:t>N/A</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MU dimension</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N/A</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N/A</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N/A</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SU dimension</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1 layer</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1 layer</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1 layer</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SRS transmission</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Non-precoded, 1T SRS port</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Non-precoded, 1T SRS port</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Non-precoded, 1T SRS port</w:t>
            </w:r>
          </w:p>
        </w:tc>
      </w:tr>
      <w:tr w:rsidR="00B95777" w:rsidTr="00C66894">
        <w:tc>
          <w:tcPr>
            <w:tcW w:w="1000" w:type="pct"/>
            <w:shd w:val="clear" w:color="auto" w:fill="FBD4B4" w:themeFill="accent6" w:themeFillTint="66"/>
            <w:vAlign w:val="bottom"/>
          </w:tcPr>
          <w:p w:rsidR="00B95777" w:rsidRPr="00C66894" w:rsidRDefault="00B95777" w:rsidP="00C66894">
            <w:pPr>
              <w:pStyle w:val="Tabletext"/>
              <w:spacing w:before="20" w:after="20"/>
              <w:jc w:val="center"/>
              <w:rPr>
                <w:lang w:val="en-US" w:eastAsia="ja-JP"/>
              </w:rPr>
            </w:pPr>
            <w:r w:rsidRPr="00C66894">
              <w:rPr>
                <w:lang w:val="en-US" w:eastAsia="ja-JP"/>
              </w:rPr>
              <w:t>Antenna configuration at TRxP</w:t>
            </w:r>
          </w:p>
        </w:tc>
        <w:tc>
          <w:tcPr>
            <w:tcW w:w="1000" w:type="pct"/>
            <w:vAlign w:val="bottom"/>
          </w:tcPr>
          <w:p w:rsidR="00B95777" w:rsidRPr="00C66894" w:rsidRDefault="00B95777" w:rsidP="00C66894">
            <w:pPr>
              <w:pStyle w:val="Tabletext"/>
              <w:spacing w:before="20" w:after="20"/>
              <w:jc w:val="center"/>
              <w:rPr>
                <w:lang w:val="en-US" w:eastAsia="ja-JP"/>
              </w:rPr>
            </w:pPr>
            <w:r w:rsidRPr="00C66894">
              <w:rPr>
                <w:lang w:val="en-US" w:eastAsia="ja-JP"/>
              </w:rPr>
              <w:t>(M, N, P, Mg, Ng; Mp, Np)</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8R,(4,4,2,1,1; 1,4)</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8R,(8,4,2,1,1; 1,4)</w:t>
            </w:r>
          </w:p>
        </w:tc>
        <w:tc>
          <w:tcPr>
            <w:tcW w:w="1000" w:type="pct"/>
            <w:vAlign w:val="center"/>
          </w:tcPr>
          <w:p w:rsidR="00B95777" w:rsidRPr="00C66894" w:rsidRDefault="00C66894" w:rsidP="00C66894">
            <w:pPr>
              <w:pStyle w:val="Tabletext"/>
              <w:spacing w:before="20" w:after="20"/>
              <w:jc w:val="center"/>
              <w:rPr>
                <w:lang w:val="en-US" w:eastAsia="ja-JP"/>
              </w:rPr>
            </w:pPr>
            <w:r w:rsidRPr="00C66894">
              <w:rPr>
                <w:lang w:val="en-US" w:eastAsia="ja-JP"/>
              </w:rPr>
              <w:t>4R,</w:t>
            </w:r>
            <w:r w:rsidR="00B95777" w:rsidRPr="00C66894">
              <w:rPr>
                <w:lang w:val="en-US" w:eastAsia="ja-JP"/>
              </w:rPr>
              <w:t>(8,2,2,1,1; 1,2)</w:t>
            </w:r>
          </w:p>
        </w:tc>
      </w:tr>
      <w:tr w:rsidR="00B95777" w:rsidTr="00C66894">
        <w:tc>
          <w:tcPr>
            <w:tcW w:w="1000" w:type="pct"/>
            <w:shd w:val="clear" w:color="auto" w:fill="FBD4B4" w:themeFill="accent6" w:themeFillTint="66"/>
            <w:vAlign w:val="bottom"/>
          </w:tcPr>
          <w:p w:rsidR="00B95777" w:rsidRPr="00C66894" w:rsidRDefault="00B95777" w:rsidP="00C66894">
            <w:pPr>
              <w:pStyle w:val="Tabletext"/>
              <w:spacing w:before="20" w:after="20"/>
              <w:jc w:val="center"/>
              <w:rPr>
                <w:lang w:val="en-US" w:eastAsia="ja-JP"/>
              </w:rPr>
            </w:pPr>
            <w:r w:rsidRPr="00C66894">
              <w:rPr>
                <w:lang w:val="en-US" w:eastAsia="ja-JP"/>
              </w:rPr>
              <w:t>Antenna configuration at UE</w:t>
            </w:r>
          </w:p>
        </w:tc>
        <w:tc>
          <w:tcPr>
            <w:tcW w:w="1000" w:type="pct"/>
            <w:vAlign w:val="bottom"/>
          </w:tcPr>
          <w:p w:rsidR="00B95777" w:rsidRPr="00C66894" w:rsidRDefault="00B95777" w:rsidP="00C66894">
            <w:pPr>
              <w:pStyle w:val="Tabletext"/>
              <w:spacing w:before="20" w:after="20"/>
              <w:jc w:val="center"/>
              <w:rPr>
                <w:lang w:val="en-US" w:eastAsia="ja-JP"/>
              </w:rPr>
            </w:pPr>
            <w:r w:rsidRPr="00C66894">
              <w:rPr>
                <w:lang w:val="en-US" w:eastAsia="ja-JP"/>
              </w:rPr>
              <w:t>(M, N, P, Mg, Ng; Mp, Np)</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1T, (1,1,1,1,1; 1,1)</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1T, (1,1,1,1,1; 1,1)</w:t>
            </w:r>
          </w:p>
        </w:tc>
        <w:tc>
          <w:tcPr>
            <w:tcW w:w="1000" w:type="pct"/>
            <w:vAlign w:val="center"/>
          </w:tcPr>
          <w:p w:rsidR="00B95777" w:rsidRPr="00C66894" w:rsidRDefault="00C66894" w:rsidP="00C66894">
            <w:pPr>
              <w:pStyle w:val="Tabletext"/>
              <w:spacing w:before="20" w:after="20"/>
              <w:jc w:val="center"/>
              <w:rPr>
                <w:lang w:val="en-US" w:eastAsia="ja-JP"/>
              </w:rPr>
            </w:pPr>
            <w:r w:rsidRPr="00C66894">
              <w:rPr>
                <w:lang w:val="en-US" w:eastAsia="ja-JP"/>
              </w:rPr>
              <w:t>1T,</w:t>
            </w:r>
            <w:r w:rsidR="00B95777" w:rsidRPr="00C66894">
              <w:rPr>
                <w:lang w:val="en-US" w:eastAsia="ja-JP"/>
              </w:rPr>
              <w:t>(1,1,1,1,1; 1,1),</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Scheduling</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PF</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Receiver</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MMSE-IRC</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r>
      <w:tr w:rsidR="00B95777" w:rsidTr="00C66894">
        <w:tc>
          <w:tcPr>
            <w:tcW w:w="1000" w:type="pct"/>
            <w:shd w:val="clear" w:color="auto" w:fill="FBD4B4" w:themeFill="accent6" w:themeFillTint="66"/>
            <w:vAlign w:val="center"/>
          </w:tcPr>
          <w:p w:rsidR="00B95777" w:rsidRPr="00C66894" w:rsidRDefault="00B95777" w:rsidP="00C66894">
            <w:pPr>
              <w:pStyle w:val="Tabletext"/>
              <w:spacing w:before="20" w:after="20"/>
              <w:jc w:val="center"/>
              <w:rPr>
                <w:lang w:val="en-US" w:eastAsia="ja-JP"/>
              </w:rPr>
            </w:pPr>
            <w:r w:rsidRPr="00C66894">
              <w:rPr>
                <w:lang w:val="en-US" w:eastAsia="ja-JP"/>
              </w:rPr>
              <w:t>Power control parameter</w:t>
            </w:r>
          </w:p>
        </w:tc>
        <w:tc>
          <w:tcPr>
            <w:tcW w:w="1000" w:type="pct"/>
            <w:vAlign w:val="center"/>
          </w:tcPr>
          <w:p w:rsidR="00B95777" w:rsidRPr="00C66894" w:rsidRDefault="00B95777" w:rsidP="00C66894">
            <w:pPr>
              <w:pStyle w:val="Tabletext"/>
              <w:spacing w:before="20" w:after="20"/>
              <w:jc w:val="center"/>
              <w:rPr>
                <w:lang w:val="en-US" w:eastAsia="ja-JP"/>
              </w:rPr>
            </w:pP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[0.8,-85]</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[0.8, -85]</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[0.8, -85]</w:t>
            </w:r>
          </w:p>
        </w:tc>
      </w:tr>
      <w:tr w:rsidR="00B95777" w:rsidTr="00C66894">
        <w:tc>
          <w:tcPr>
            <w:tcW w:w="1000" w:type="pct"/>
            <w:shd w:val="clear" w:color="auto" w:fill="FBD4B4" w:themeFill="accent6" w:themeFillTint="66"/>
            <w:vAlign w:val="bottom"/>
          </w:tcPr>
          <w:p w:rsidR="00B95777" w:rsidRPr="00C66894" w:rsidRDefault="00B95777" w:rsidP="00C66894">
            <w:pPr>
              <w:pStyle w:val="Tabletext"/>
              <w:spacing w:before="20" w:after="20"/>
              <w:jc w:val="center"/>
              <w:rPr>
                <w:lang w:val="en-US" w:eastAsia="ja-JP"/>
              </w:rPr>
            </w:pPr>
            <w:r w:rsidRPr="00C66894">
              <w:rPr>
                <w:lang w:val="en-US" w:eastAsia="ja-JP"/>
              </w:rPr>
              <w:t>SINR</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Pre-processing SINR as in Section 2.1.1 in R1-1805643</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c>
          <w:tcPr>
            <w:tcW w:w="1000" w:type="pct"/>
            <w:vAlign w:val="center"/>
          </w:tcPr>
          <w:p w:rsidR="00B95777" w:rsidRPr="00C66894" w:rsidRDefault="00B95777" w:rsidP="00C66894">
            <w:pPr>
              <w:pStyle w:val="Tabletext"/>
              <w:spacing w:before="20" w:after="20"/>
              <w:jc w:val="center"/>
              <w:rPr>
                <w:lang w:val="en-US" w:eastAsia="ja-JP"/>
              </w:rPr>
            </w:pPr>
            <w:r w:rsidRPr="00C66894">
              <w:rPr>
                <w:lang w:val="en-US" w:eastAsia="ja-JP"/>
              </w:rPr>
              <w:t>Aligned with reference</w:t>
            </w:r>
          </w:p>
        </w:tc>
      </w:tr>
    </w:tbl>
    <w:p w:rsidR="00E236DA" w:rsidRDefault="0007114A" w:rsidP="0007114A">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sz w:val="30"/>
          <w:szCs w:val="30"/>
        </w:rPr>
        <w:t>Appendix</w:t>
      </w:r>
      <w:r w:rsidR="008702A5">
        <w:rPr>
          <w:rFonts w:ascii="Arial" w:hAnsi="Arial" w:cs="Arial"/>
          <w:sz w:val="30"/>
          <w:szCs w:val="30"/>
        </w:rPr>
        <w:t xml:space="preserve"> B</w:t>
      </w:r>
    </w:p>
    <w:p w:rsidR="0007114A" w:rsidRPr="00A84D31" w:rsidRDefault="00B228E4" w:rsidP="00A84D31">
      <w:pPr>
        <w:widowControl/>
        <w:spacing w:afterLines="50" w:after="156" w:line="400" w:lineRule="exact"/>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TABLE 5</w:t>
      </w:r>
    </w:p>
    <w:p w:rsidR="00A84D31" w:rsidRPr="00A84D31" w:rsidRDefault="00A84D31" w:rsidP="00A84D31">
      <w:pPr>
        <w:pStyle w:val="Tabletitle"/>
        <w:rPr>
          <w:lang w:val="en-US" w:eastAsia="ja-JP"/>
        </w:rPr>
      </w:pPr>
      <w:r w:rsidRPr="00A84D31">
        <w:rPr>
          <w:lang w:val="en-US" w:eastAsia="ja-JP"/>
        </w:rPr>
        <w:t xml:space="preserve">Link level </w:t>
      </w:r>
      <w:r w:rsidR="00F260BC">
        <w:rPr>
          <w:lang w:val="en-US" w:eastAsia="ja-JP"/>
        </w:rPr>
        <w:t xml:space="preserve">evaluation </w:t>
      </w:r>
      <w:r w:rsidRPr="00A84D31">
        <w:rPr>
          <w:lang w:val="en-US" w:eastAsia="ja-JP"/>
        </w:rPr>
        <w:t>assumptions</w:t>
      </w:r>
    </w:p>
    <w:tbl>
      <w:tblPr>
        <w:tblStyle w:val="a7"/>
        <w:tblW w:w="5000" w:type="pct"/>
        <w:jc w:val="center"/>
        <w:tblLook w:val="04A0" w:firstRow="1" w:lastRow="0" w:firstColumn="1" w:lastColumn="0" w:noHBand="0" w:noVBand="1"/>
      </w:tblPr>
      <w:tblGrid>
        <w:gridCol w:w="1527"/>
        <w:gridCol w:w="1452"/>
        <w:gridCol w:w="1851"/>
        <w:gridCol w:w="1851"/>
        <w:gridCol w:w="1841"/>
      </w:tblGrid>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head"/>
              <w:spacing w:before="20" w:after="20"/>
              <w:rPr>
                <w:lang w:val="en-US"/>
              </w:rPr>
            </w:pPr>
            <w:r w:rsidRPr="004F79F2">
              <w:rPr>
                <w:lang w:val="en-US"/>
              </w:rPr>
              <w:t>Parameters</w:t>
            </w:r>
          </w:p>
        </w:tc>
        <w:tc>
          <w:tcPr>
            <w:tcW w:w="852" w:type="pct"/>
            <w:shd w:val="clear" w:color="auto" w:fill="FBD4B4" w:themeFill="accent6" w:themeFillTint="66"/>
            <w:vAlign w:val="center"/>
          </w:tcPr>
          <w:p w:rsidR="00AF09E8" w:rsidRPr="004F79F2" w:rsidRDefault="00AF09E8" w:rsidP="00AF09E8">
            <w:pPr>
              <w:pStyle w:val="Tablehead"/>
              <w:spacing w:before="20" w:after="20"/>
              <w:rPr>
                <w:lang w:val="en-US"/>
              </w:rPr>
            </w:pPr>
            <w:r w:rsidRPr="004F79F2">
              <w:rPr>
                <w:lang w:val="en-US"/>
              </w:rPr>
              <w:t>Reference value</w:t>
            </w:r>
          </w:p>
        </w:tc>
        <w:tc>
          <w:tcPr>
            <w:tcW w:w="1086" w:type="pct"/>
            <w:shd w:val="clear" w:color="auto" w:fill="FBD4B4" w:themeFill="accent6" w:themeFillTint="66"/>
            <w:vAlign w:val="center"/>
          </w:tcPr>
          <w:p w:rsidR="00AF09E8" w:rsidRPr="004F79F2" w:rsidRDefault="00AF09E8" w:rsidP="00AF09E8">
            <w:pPr>
              <w:pStyle w:val="Tablehead"/>
              <w:spacing w:before="20" w:after="20"/>
              <w:rPr>
                <w:lang w:val="en-US"/>
              </w:rPr>
            </w:pPr>
            <w:r w:rsidRPr="004F79F2">
              <w:rPr>
                <w:rFonts w:hint="eastAsia"/>
                <w:lang w:val="en-US"/>
              </w:rPr>
              <w:t>In</w:t>
            </w:r>
            <w:r>
              <w:rPr>
                <w:lang w:val="en-US"/>
              </w:rPr>
              <w:t xml:space="preserve">door </w:t>
            </w:r>
            <w:r w:rsidRPr="004F79F2">
              <w:rPr>
                <w:rFonts w:hint="eastAsia"/>
                <w:lang w:val="en-US"/>
              </w:rPr>
              <w:t>H</w:t>
            </w:r>
            <w:r>
              <w:rPr>
                <w:lang w:val="en-US"/>
              </w:rPr>
              <w:t>otspot</w:t>
            </w:r>
          </w:p>
        </w:tc>
        <w:tc>
          <w:tcPr>
            <w:tcW w:w="1086" w:type="pct"/>
            <w:shd w:val="clear" w:color="auto" w:fill="FBD4B4" w:themeFill="accent6" w:themeFillTint="66"/>
            <w:vAlign w:val="center"/>
          </w:tcPr>
          <w:p w:rsidR="00AF09E8" w:rsidRPr="004F79F2" w:rsidRDefault="00AF09E8" w:rsidP="00AF09E8">
            <w:pPr>
              <w:pStyle w:val="Tablehead"/>
              <w:spacing w:before="20" w:after="20"/>
              <w:rPr>
                <w:lang w:val="en-US"/>
              </w:rPr>
            </w:pPr>
            <w:r w:rsidRPr="004F79F2">
              <w:rPr>
                <w:rFonts w:hint="eastAsia"/>
                <w:lang w:val="en-US"/>
              </w:rPr>
              <w:t>Dense Urban</w:t>
            </w:r>
          </w:p>
        </w:tc>
        <w:tc>
          <w:tcPr>
            <w:tcW w:w="1081" w:type="pct"/>
            <w:shd w:val="clear" w:color="auto" w:fill="FBD4B4" w:themeFill="accent6" w:themeFillTint="66"/>
            <w:vAlign w:val="center"/>
          </w:tcPr>
          <w:p w:rsidR="00AF09E8" w:rsidRPr="004F79F2" w:rsidRDefault="00AF09E8" w:rsidP="00AF09E8">
            <w:pPr>
              <w:pStyle w:val="Tablehead"/>
              <w:spacing w:before="20" w:after="20"/>
              <w:rPr>
                <w:lang w:val="en-US"/>
              </w:rPr>
            </w:pPr>
            <w:r w:rsidRPr="004F79F2">
              <w:rPr>
                <w:rFonts w:hint="eastAsia"/>
                <w:lang w:val="en-US"/>
              </w:rPr>
              <w:t>Rural</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 xml:space="preserve">Carrier </w:t>
            </w:r>
            <w:r w:rsidRPr="004F79F2">
              <w:rPr>
                <w:lang w:val="en-US" w:eastAsia="ja-JP"/>
              </w:rPr>
              <w:lastRenderedPageBreak/>
              <w:t>frequency</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4GHz</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rFonts w:hint="eastAsia"/>
                <w:lang w:val="en-US" w:eastAsia="ja-JP"/>
              </w:rPr>
              <w:t>4GHz</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700 MHz/4 GHz</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Waveform</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CP-OFDM</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Duplexing</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FDD</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FDD</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FDD</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Evaluated service profiles</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Full buffer best effort</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Simulation bandwidth</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10 MHz</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Number of users in simulation</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vMerge w:val="restar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Link-level Channel model</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NLOS: CDL/ TDL-iii</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NLOS: CDL-i</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NLOS: CDL-iii</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NLOS: CDL-iii</w:t>
            </w:r>
          </w:p>
        </w:tc>
      </w:tr>
      <w:tr w:rsidR="00AF09E8" w:rsidTr="00AF09E8">
        <w:trPr>
          <w:jc w:val="center"/>
        </w:trPr>
        <w:tc>
          <w:tcPr>
            <w:tcW w:w="896" w:type="pct"/>
            <w:vMerge/>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LOS: CDL/TDL-v</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LOS: CDL-iv</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LOS: CDL-v</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CDL-v</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UE speed</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10km/h</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30km/h</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120km/h, 500km/h</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Subcarrier spacing</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15 kHz</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15 kHz</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15 kHz</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Symbols number per slot</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14</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Antenna configuration at TRxP</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8R, (4,4,2,1,1; 1,4)</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8R, (8,4,2,1,1; 1,4)</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4R, (8,2,2,1,1; 1,2)</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Antenna configuration at UE</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1T, (1,1,1,1,1; 1,1)</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1T, (1,1,1,1,1; 1,1)</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1T, (1,1,1,1,1; 1,1)</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TXRU pattern at TRxP</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Option 1: 0dBi Omni-directional</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Option 1: 0dBi Omni-directional</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Option 1: 0dBi Omni-directional</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TXRU pattern at UE</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Option 1: 0dBi Omni-directional</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Option 1: 0dBi Omni-directional</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Option 1: 0dBi Omni-directional</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Transmission mode</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SIMO</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SIMO</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SIMO</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Transmission rank</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Rank 1</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Rank 1</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Rank 1</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UL precoder</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TRxP receiver type</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MMSE-IRC</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Channel estimation</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LMMSE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LMMSE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LMMSE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 xml:space="preserve">Number of subcarriers per </w:t>
            </w:r>
            <w:r w:rsidRPr="004F79F2">
              <w:rPr>
                <w:lang w:val="en-US" w:eastAsia="ja-JP"/>
              </w:rPr>
              <w:lastRenderedPageBreak/>
              <w:t>PRB</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lastRenderedPageBreak/>
              <w:t>12</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Data allocation</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14 symbol slots, with 12 RB allocated</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14 symbol slots, with 12 RB allocated</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14 symbol slots, with 12 RB allocated</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Channel coding scheme</w:t>
            </w:r>
          </w:p>
        </w:tc>
        <w:tc>
          <w:tcPr>
            <w:tcW w:w="852"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LDPC</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Aligned with reference</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Link adaptation</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Yes</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Yes</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Yes</w:t>
            </w:r>
          </w:p>
        </w:tc>
      </w:tr>
      <w:tr w:rsidR="00AF09E8" w:rsidTr="00AF09E8">
        <w:trPr>
          <w:jc w:val="center"/>
        </w:trPr>
        <w:tc>
          <w:tcPr>
            <w:tcW w:w="896" w:type="pct"/>
            <w:shd w:val="clear" w:color="auto" w:fill="FBD4B4" w:themeFill="accent6" w:themeFillTint="66"/>
            <w:vAlign w:val="center"/>
          </w:tcPr>
          <w:p w:rsidR="00AF09E8" w:rsidRPr="004F79F2" w:rsidRDefault="00AF09E8" w:rsidP="00AF09E8">
            <w:pPr>
              <w:pStyle w:val="Tabletext"/>
              <w:spacing w:before="20" w:after="20"/>
              <w:jc w:val="center"/>
              <w:rPr>
                <w:lang w:val="en-US" w:eastAsia="ja-JP"/>
              </w:rPr>
            </w:pPr>
            <w:r w:rsidRPr="004F79F2">
              <w:rPr>
                <w:lang w:val="en-US" w:eastAsia="ja-JP"/>
              </w:rPr>
              <w:t>HARQ</w:t>
            </w:r>
          </w:p>
        </w:tc>
        <w:tc>
          <w:tcPr>
            <w:tcW w:w="852" w:type="pct"/>
            <w:vAlign w:val="center"/>
          </w:tcPr>
          <w:p w:rsidR="00AF09E8" w:rsidRPr="004F79F2" w:rsidRDefault="00AF09E8" w:rsidP="00AF09E8">
            <w:pPr>
              <w:pStyle w:val="Tabletext"/>
              <w:spacing w:before="20" w:after="20"/>
              <w:jc w:val="center"/>
              <w:rPr>
                <w:lang w:val="en-US" w:eastAsia="ja-JP"/>
              </w:rPr>
            </w:pP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 xml:space="preserve">Max 4 HARQ </w:t>
            </w:r>
            <w:r w:rsidR="00DB0951" w:rsidRPr="004F79F2">
              <w:rPr>
                <w:lang w:val="en-US" w:eastAsia="ja-JP"/>
              </w:rPr>
              <w:t>transmissions</w:t>
            </w:r>
          </w:p>
        </w:tc>
        <w:tc>
          <w:tcPr>
            <w:tcW w:w="1086"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 xml:space="preserve">Max 4 HARQ </w:t>
            </w:r>
            <w:r w:rsidR="00DB0951" w:rsidRPr="004F79F2">
              <w:rPr>
                <w:lang w:val="en-US" w:eastAsia="ja-JP"/>
              </w:rPr>
              <w:t>transmissions</w:t>
            </w:r>
          </w:p>
        </w:tc>
        <w:tc>
          <w:tcPr>
            <w:tcW w:w="1081" w:type="pct"/>
            <w:vAlign w:val="center"/>
          </w:tcPr>
          <w:p w:rsidR="00AF09E8" w:rsidRPr="004F79F2" w:rsidRDefault="00AF09E8" w:rsidP="00AF09E8">
            <w:pPr>
              <w:pStyle w:val="Tabletext"/>
              <w:spacing w:before="20" w:after="20"/>
              <w:jc w:val="center"/>
              <w:rPr>
                <w:lang w:val="en-US" w:eastAsia="ja-JP"/>
              </w:rPr>
            </w:pPr>
            <w:r w:rsidRPr="004F79F2">
              <w:rPr>
                <w:lang w:val="en-US" w:eastAsia="ja-JP"/>
              </w:rPr>
              <w:t xml:space="preserve">Max 4 HARQ </w:t>
            </w:r>
            <w:r w:rsidR="00DB0951" w:rsidRPr="004F79F2">
              <w:rPr>
                <w:lang w:val="en-US" w:eastAsia="ja-JP"/>
              </w:rPr>
              <w:t>transmissions</w:t>
            </w:r>
          </w:p>
        </w:tc>
      </w:tr>
    </w:tbl>
    <w:p w:rsidR="0007114A" w:rsidRDefault="0007114A" w:rsidP="0007114A">
      <w:pPr>
        <w:widowControl/>
        <w:spacing w:afterLines="50" w:after="156" w:line="400" w:lineRule="exact"/>
        <w:rPr>
          <w:rFonts w:ascii="Arial" w:hAnsi="Arial" w:cs="Arial"/>
          <w:sz w:val="30"/>
          <w:szCs w:val="30"/>
        </w:rPr>
      </w:pPr>
    </w:p>
    <w:p w:rsidR="00522452" w:rsidRPr="009948EC" w:rsidRDefault="00522452" w:rsidP="0007114A"/>
    <w:sectPr w:rsidR="00522452" w:rsidRPr="009948EC" w:rsidSect="00A14C66">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DFB" w:rsidRDefault="00713DFB" w:rsidP="00FB459D">
      <w:r>
        <w:separator/>
      </w:r>
    </w:p>
  </w:endnote>
  <w:endnote w:type="continuationSeparator" w:id="0">
    <w:p w:rsidR="00713DFB" w:rsidRDefault="00713DFB" w:rsidP="00FB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750693"/>
      <w:docPartObj>
        <w:docPartGallery w:val="Page Numbers (Bottom of Page)"/>
        <w:docPartUnique/>
      </w:docPartObj>
    </w:sdtPr>
    <w:sdtEndPr/>
    <w:sdtContent>
      <w:p w:rsidR="00C37C35" w:rsidRDefault="00C37C35">
        <w:pPr>
          <w:pStyle w:val="a5"/>
          <w:jc w:val="center"/>
        </w:pPr>
        <w:r>
          <w:fldChar w:fldCharType="begin"/>
        </w:r>
        <w:r>
          <w:instrText>PAGE   \* MERGEFORMAT</w:instrText>
        </w:r>
        <w:r>
          <w:fldChar w:fldCharType="separate"/>
        </w:r>
        <w:r w:rsidR="00803C63" w:rsidRPr="00803C63">
          <w:rPr>
            <w:noProof/>
            <w:lang w:val="zh-CN"/>
          </w:rPr>
          <w:t>5</w:t>
        </w:r>
        <w:r>
          <w:fldChar w:fldCharType="end"/>
        </w:r>
      </w:p>
    </w:sdtContent>
  </w:sdt>
  <w:p w:rsidR="00C37C35" w:rsidRDefault="00C37C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DFB" w:rsidRDefault="00713DFB" w:rsidP="00FB459D">
      <w:r>
        <w:separator/>
      </w:r>
    </w:p>
  </w:footnote>
  <w:footnote w:type="continuationSeparator" w:id="0">
    <w:p w:rsidR="00713DFB" w:rsidRDefault="00713DFB" w:rsidP="00FB4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55E1D"/>
    <w:multiLevelType w:val="hybridMultilevel"/>
    <w:tmpl w:val="6FDE20EE"/>
    <w:lvl w:ilvl="0" w:tplc="FED0094E">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887276"/>
    <w:multiLevelType w:val="multilevel"/>
    <w:tmpl w:val="F30CD8D2"/>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682FBC"/>
    <w:multiLevelType w:val="multilevel"/>
    <w:tmpl w:val="174AD0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101505E"/>
    <w:multiLevelType w:val="multilevel"/>
    <w:tmpl w:val="5101505E"/>
    <w:lvl w:ilvl="0">
      <w:start w:val="3"/>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83E"/>
    <w:rsid w:val="00001547"/>
    <w:rsid w:val="00006421"/>
    <w:rsid w:val="0000674B"/>
    <w:rsid w:val="000068DB"/>
    <w:rsid w:val="00012A95"/>
    <w:rsid w:val="00020257"/>
    <w:rsid w:val="00021A05"/>
    <w:rsid w:val="00026279"/>
    <w:rsid w:val="000270A4"/>
    <w:rsid w:val="000276C9"/>
    <w:rsid w:val="00036EFA"/>
    <w:rsid w:val="00037BA5"/>
    <w:rsid w:val="00043179"/>
    <w:rsid w:val="0004488C"/>
    <w:rsid w:val="00044899"/>
    <w:rsid w:val="00045521"/>
    <w:rsid w:val="0004758D"/>
    <w:rsid w:val="0005521F"/>
    <w:rsid w:val="00055274"/>
    <w:rsid w:val="000560E5"/>
    <w:rsid w:val="000567A5"/>
    <w:rsid w:val="0006100C"/>
    <w:rsid w:val="0006656F"/>
    <w:rsid w:val="0007114A"/>
    <w:rsid w:val="000723FC"/>
    <w:rsid w:val="0007392E"/>
    <w:rsid w:val="00081561"/>
    <w:rsid w:val="000958F4"/>
    <w:rsid w:val="000B3DD5"/>
    <w:rsid w:val="000B5D35"/>
    <w:rsid w:val="000D27F2"/>
    <w:rsid w:val="000E584B"/>
    <w:rsid w:val="00103A99"/>
    <w:rsid w:val="0010541E"/>
    <w:rsid w:val="00111526"/>
    <w:rsid w:val="00120C0E"/>
    <w:rsid w:val="0012121C"/>
    <w:rsid w:val="00123036"/>
    <w:rsid w:val="00123D5A"/>
    <w:rsid w:val="00124BE1"/>
    <w:rsid w:val="00126151"/>
    <w:rsid w:val="001303C6"/>
    <w:rsid w:val="001315EB"/>
    <w:rsid w:val="0013253C"/>
    <w:rsid w:val="00133F3C"/>
    <w:rsid w:val="001355D6"/>
    <w:rsid w:val="00147B53"/>
    <w:rsid w:val="00152935"/>
    <w:rsid w:val="00154DD6"/>
    <w:rsid w:val="00172BBD"/>
    <w:rsid w:val="001736B9"/>
    <w:rsid w:val="00175B21"/>
    <w:rsid w:val="00176FFE"/>
    <w:rsid w:val="00185E75"/>
    <w:rsid w:val="001A30B9"/>
    <w:rsid w:val="001A7C16"/>
    <w:rsid w:val="001B6915"/>
    <w:rsid w:val="001B7A61"/>
    <w:rsid w:val="001C1B1B"/>
    <w:rsid w:val="001C25BD"/>
    <w:rsid w:val="001D1763"/>
    <w:rsid w:val="001D185B"/>
    <w:rsid w:val="001D5E9C"/>
    <w:rsid w:val="001D638E"/>
    <w:rsid w:val="001D779E"/>
    <w:rsid w:val="001E240D"/>
    <w:rsid w:val="001F2D0F"/>
    <w:rsid w:val="001F6F59"/>
    <w:rsid w:val="001F7511"/>
    <w:rsid w:val="002001F6"/>
    <w:rsid w:val="00204B49"/>
    <w:rsid w:val="00210658"/>
    <w:rsid w:val="002124BC"/>
    <w:rsid w:val="00216901"/>
    <w:rsid w:val="0022738F"/>
    <w:rsid w:val="0022743C"/>
    <w:rsid w:val="00231304"/>
    <w:rsid w:val="002527B7"/>
    <w:rsid w:val="002536E8"/>
    <w:rsid w:val="00263585"/>
    <w:rsid w:val="00265EC1"/>
    <w:rsid w:val="00277BC0"/>
    <w:rsid w:val="00280BB3"/>
    <w:rsid w:val="00283327"/>
    <w:rsid w:val="00285E91"/>
    <w:rsid w:val="00293F97"/>
    <w:rsid w:val="002A5499"/>
    <w:rsid w:val="002B5058"/>
    <w:rsid w:val="002B5713"/>
    <w:rsid w:val="002B7200"/>
    <w:rsid w:val="002C7F10"/>
    <w:rsid w:val="002D0749"/>
    <w:rsid w:val="002E0A37"/>
    <w:rsid w:val="002E0E5E"/>
    <w:rsid w:val="002E3A71"/>
    <w:rsid w:val="002E3C7A"/>
    <w:rsid w:val="002E5C44"/>
    <w:rsid w:val="002F0522"/>
    <w:rsid w:val="002F1601"/>
    <w:rsid w:val="0030179A"/>
    <w:rsid w:val="003032E7"/>
    <w:rsid w:val="00303E45"/>
    <w:rsid w:val="00307551"/>
    <w:rsid w:val="00307AE2"/>
    <w:rsid w:val="00313B8A"/>
    <w:rsid w:val="00313E99"/>
    <w:rsid w:val="00317CCD"/>
    <w:rsid w:val="0032109B"/>
    <w:rsid w:val="003237DC"/>
    <w:rsid w:val="00324AA2"/>
    <w:rsid w:val="003268C3"/>
    <w:rsid w:val="003370D1"/>
    <w:rsid w:val="00337180"/>
    <w:rsid w:val="0034346B"/>
    <w:rsid w:val="00346A96"/>
    <w:rsid w:val="00353B3E"/>
    <w:rsid w:val="00356CC4"/>
    <w:rsid w:val="0036295D"/>
    <w:rsid w:val="003632B6"/>
    <w:rsid w:val="00371A7C"/>
    <w:rsid w:val="003816A3"/>
    <w:rsid w:val="00381972"/>
    <w:rsid w:val="00384528"/>
    <w:rsid w:val="0039409B"/>
    <w:rsid w:val="003A554C"/>
    <w:rsid w:val="003A58B0"/>
    <w:rsid w:val="003B06ED"/>
    <w:rsid w:val="003B5BD5"/>
    <w:rsid w:val="003C24C5"/>
    <w:rsid w:val="003D4542"/>
    <w:rsid w:val="003D5253"/>
    <w:rsid w:val="003D7D36"/>
    <w:rsid w:val="003E12A5"/>
    <w:rsid w:val="003E2E03"/>
    <w:rsid w:val="003E2FED"/>
    <w:rsid w:val="003E3B66"/>
    <w:rsid w:val="003F1927"/>
    <w:rsid w:val="00401B97"/>
    <w:rsid w:val="00406B28"/>
    <w:rsid w:val="00407C03"/>
    <w:rsid w:val="00410FF4"/>
    <w:rsid w:val="0042670C"/>
    <w:rsid w:val="00426B5C"/>
    <w:rsid w:val="00431295"/>
    <w:rsid w:val="004327B9"/>
    <w:rsid w:val="004331E8"/>
    <w:rsid w:val="004353FD"/>
    <w:rsid w:val="00440F04"/>
    <w:rsid w:val="004417D0"/>
    <w:rsid w:val="00451280"/>
    <w:rsid w:val="00454871"/>
    <w:rsid w:val="004639FB"/>
    <w:rsid w:val="0046628C"/>
    <w:rsid w:val="00466EA2"/>
    <w:rsid w:val="0047010F"/>
    <w:rsid w:val="00470ACD"/>
    <w:rsid w:val="00470F84"/>
    <w:rsid w:val="00474F49"/>
    <w:rsid w:val="00485AB7"/>
    <w:rsid w:val="0048623C"/>
    <w:rsid w:val="00487DD0"/>
    <w:rsid w:val="004909E1"/>
    <w:rsid w:val="00490F92"/>
    <w:rsid w:val="004A1F5D"/>
    <w:rsid w:val="004A4A77"/>
    <w:rsid w:val="004B4C72"/>
    <w:rsid w:val="004B4FA2"/>
    <w:rsid w:val="004C0316"/>
    <w:rsid w:val="004D3679"/>
    <w:rsid w:val="004E498A"/>
    <w:rsid w:val="004F4A4D"/>
    <w:rsid w:val="004F79F2"/>
    <w:rsid w:val="00503EBA"/>
    <w:rsid w:val="00507E21"/>
    <w:rsid w:val="0052231F"/>
    <w:rsid w:val="00522452"/>
    <w:rsid w:val="00525686"/>
    <w:rsid w:val="00525DE4"/>
    <w:rsid w:val="00532E81"/>
    <w:rsid w:val="0054235E"/>
    <w:rsid w:val="0054255A"/>
    <w:rsid w:val="00542629"/>
    <w:rsid w:val="00546516"/>
    <w:rsid w:val="00554E28"/>
    <w:rsid w:val="00556B57"/>
    <w:rsid w:val="005629E9"/>
    <w:rsid w:val="00562D90"/>
    <w:rsid w:val="0056608F"/>
    <w:rsid w:val="00572ADD"/>
    <w:rsid w:val="00572B83"/>
    <w:rsid w:val="00573842"/>
    <w:rsid w:val="00573FC2"/>
    <w:rsid w:val="00576111"/>
    <w:rsid w:val="00582741"/>
    <w:rsid w:val="00585EB7"/>
    <w:rsid w:val="005911A3"/>
    <w:rsid w:val="00591BD4"/>
    <w:rsid w:val="005A1DE0"/>
    <w:rsid w:val="005B002E"/>
    <w:rsid w:val="005B5ABF"/>
    <w:rsid w:val="005B7E60"/>
    <w:rsid w:val="005D16C3"/>
    <w:rsid w:val="005D3985"/>
    <w:rsid w:val="005E0B0F"/>
    <w:rsid w:val="005E1245"/>
    <w:rsid w:val="005E1B7A"/>
    <w:rsid w:val="005E250D"/>
    <w:rsid w:val="005F2AFE"/>
    <w:rsid w:val="005F38E4"/>
    <w:rsid w:val="005F7120"/>
    <w:rsid w:val="00600FC5"/>
    <w:rsid w:val="00601122"/>
    <w:rsid w:val="0060114F"/>
    <w:rsid w:val="006036C6"/>
    <w:rsid w:val="006118A3"/>
    <w:rsid w:val="00617C0F"/>
    <w:rsid w:val="006203D9"/>
    <w:rsid w:val="0062069C"/>
    <w:rsid w:val="0063211A"/>
    <w:rsid w:val="00635F8B"/>
    <w:rsid w:val="0064028E"/>
    <w:rsid w:val="00644D7A"/>
    <w:rsid w:val="00645DB5"/>
    <w:rsid w:val="00650C09"/>
    <w:rsid w:val="006515D6"/>
    <w:rsid w:val="00653C3F"/>
    <w:rsid w:val="00661867"/>
    <w:rsid w:val="006656F9"/>
    <w:rsid w:val="006707E8"/>
    <w:rsid w:val="0067101C"/>
    <w:rsid w:val="00671405"/>
    <w:rsid w:val="00677D49"/>
    <w:rsid w:val="006841AE"/>
    <w:rsid w:val="00684E95"/>
    <w:rsid w:val="00692BC9"/>
    <w:rsid w:val="006A0D02"/>
    <w:rsid w:val="006A49AD"/>
    <w:rsid w:val="006A67F9"/>
    <w:rsid w:val="006A72E5"/>
    <w:rsid w:val="006B2F66"/>
    <w:rsid w:val="006B4179"/>
    <w:rsid w:val="006B5053"/>
    <w:rsid w:val="006C3D3A"/>
    <w:rsid w:val="006C75F1"/>
    <w:rsid w:val="006D0596"/>
    <w:rsid w:val="006D211A"/>
    <w:rsid w:val="006E0B10"/>
    <w:rsid w:val="006E0C9E"/>
    <w:rsid w:val="006E1F02"/>
    <w:rsid w:val="006E5912"/>
    <w:rsid w:val="006F0131"/>
    <w:rsid w:val="006F3B73"/>
    <w:rsid w:val="006F4912"/>
    <w:rsid w:val="006F5153"/>
    <w:rsid w:val="00712FC3"/>
    <w:rsid w:val="00713DFB"/>
    <w:rsid w:val="007301CE"/>
    <w:rsid w:val="007316B6"/>
    <w:rsid w:val="007346C7"/>
    <w:rsid w:val="007412D4"/>
    <w:rsid w:val="00750603"/>
    <w:rsid w:val="0075095A"/>
    <w:rsid w:val="00751CD3"/>
    <w:rsid w:val="00751F48"/>
    <w:rsid w:val="0075323E"/>
    <w:rsid w:val="0076003A"/>
    <w:rsid w:val="00764CC5"/>
    <w:rsid w:val="007674AD"/>
    <w:rsid w:val="007800C7"/>
    <w:rsid w:val="00780EE6"/>
    <w:rsid w:val="00781A11"/>
    <w:rsid w:val="00792A85"/>
    <w:rsid w:val="007936DF"/>
    <w:rsid w:val="007A4E32"/>
    <w:rsid w:val="007A7F3E"/>
    <w:rsid w:val="007B094D"/>
    <w:rsid w:val="007B7FD3"/>
    <w:rsid w:val="007C33DD"/>
    <w:rsid w:val="007D3DA6"/>
    <w:rsid w:val="007D45D1"/>
    <w:rsid w:val="007E7186"/>
    <w:rsid w:val="007F32F4"/>
    <w:rsid w:val="00803C63"/>
    <w:rsid w:val="008101A7"/>
    <w:rsid w:val="00813738"/>
    <w:rsid w:val="008138EA"/>
    <w:rsid w:val="00816325"/>
    <w:rsid w:val="0082361A"/>
    <w:rsid w:val="00835804"/>
    <w:rsid w:val="00836F6E"/>
    <w:rsid w:val="00841F12"/>
    <w:rsid w:val="00847A13"/>
    <w:rsid w:val="00856281"/>
    <w:rsid w:val="0086739F"/>
    <w:rsid w:val="008702A5"/>
    <w:rsid w:val="00876211"/>
    <w:rsid w:val="00881A0F"/>
    <w:rsid w:val="008864CE"/>
    <w:rsid w:val="00886FFB"/>
    <w:rsid w:val="0089401C"/>
    <w:rsid w:val="00897DDE"/>
    <w:rsid w:val="008A7F99"/>
    <w:rsid w:val="008B5922"/>
    <w:rsid w:val="008B7D2D"/>
    <w:rsid w:val="008C3DB6"/>
    <w:rsid w:val="008C43FE"/>
    <w:rsid w:val="008C6BDB"/>
    <w:rsid w:val="008D1F28"/>
    <w:rsid w:val="008D2C02"/>
    <w:rsid w:val="008D47BA"/>
    <w:rsid w:val="008E58BF"/>
    <w:rsid w:val="008E5C67"/>
    <w:rsid w:val="008E7BE2"/>
    <w:rsid w:val="008F7BDA"/>
    <w:rsid w:val="00900401"/>
    <w:rsid w:val="00903C85"/>
    <w:rsid w:val="0091223A"/>
    <w:rsid w:val="00912BC6"/>
    <w:rsid w:val="00916946"/>
    <w:rsid w:val="009256B3"/>
    <w:rsid w:val="00930070"/>
    <w:rsid w:val="009334FB"/>
    <w:rsid w:val="00942481"/>
    <w:rsid w:val="00945657"/>
    <w:rsid w:val="00950CD1"/>
    <w:rsid w:val="0095104E"/>
    <w:rsid w:val="00952EA1"/>
    <w:rsid w:val="00954386"/>
    <w:rsid w:val="0095483E"/>
    <w:rsid w:val="0095582B"/>
    <w:rsid w:val="00967835"/>
    <w:rsid w:val="009763A0"/>
    <w:rsid w:val="00976A56"/>
    <w:rsid w:val="0097738C"/>
    <w:rsid w:val="00982DF8"/>
    <w:rsid w:val="009856B4"/>
    <w:rsid w:val="0099129D"/>
    <w:rsid w:val="00991E62"/>
    <w:rsid w:val="00992A53"/>
    <w:rsid w:val="00992A7B"/>
    <w:rsid w:val="00994897"/>
    <w:rsid w:val="009948EC"/>
    <w:rsid w:val="0099556D"/>
    <w:rsid w:val="00997B94"/>
    <w:rsid w:val="009A7C16"/>
    <w:rsid w:val="009B1D3B"/>
    <w:rsid w:val="009B70A1"/>
    <w:rsid w:val="009C176D"/>
    <w:rsid w:val="009C22C7"/>
    <w:rsid w:val="009C3E59"/>
    <w:rsid w:val="009D35A9"/>
    <w:rsid w:val="009D4F8B"/>
    <w:rsid w:val="009E09EA"/>
    <w:rsid w:val="009E4D85"/>
    <w:rsid w:val="009E7C7A"/>
    <w:rsid w:val="009F5F9B"/>
    <w:rsid w:val="00A004DF"/>
    <w:rsid w:val="00A024EB"/>
    <w:rsid w:val="00A057C6"/>
    <w:rsid w:val="00A1189A"/>
    <w:rsid w:val="00A11F37"/>
    <w:rsid w:val="00A12CB5"/>
    <w:rsid w:val="00A14C66"/>
    <w:rsid w:val="00A16449"/>
    <w:rsid w:val="00A16BCC"/>
    <w:rsid w:val="00A24861"/>
    <w:rsid w:val="00A31F53"/>
    <w:rsid w:val="00A4189C"/>
    <w:rsid w:val="00A43AD7"/>
    <w:rsid w:val="00A5067E"/>
    <w:rsid w:val="00A510F5"/>
    <w:rsid w:val="00A659B4"/>
    <w:rsid w:val="00A67073"/>
    <w:rsid w:val="00A70526"/>
    <w:rsid w:val="00A80C46"/>
    <w:rsid w:val="00A83388"/>
    <w:rsid w:val="00A84D31"/>
    <w:rsid w:val="00AA653A"/>
    <w:rsid w:val="00AD1473"/>
    <w:rsid w:val="00AD6A7B"/>
    <w:rsid w:val="00AE4E25"/>
    <w:rsid w:val="00AE6378"/>
    <w:rsid w:val="00AE6511"/>
    <w:rsid w:val="00AF09E8"/>
    <w:rsid w:val="00AF2098"/>
    <w:rsid w:val="00AF26D2"/>
    <w:rsid w:val="00B01002"/>
    <w:rsid w:val="00B01D50"/>
    <w:rsid w:val="00B10531"/>
    <w:rsid w:val="00B15595"/>
    <w:rsid w:val="00B16766"/>
    <w:rsid w:val="00B2082E"/>
    <w:rsid w:val="00B228E4"/>
    <w:rsid w:val="00B40E8D"/>
    <w:rsid w:val="00B41AC8"/>
    <w:rsid w:val="00B504E7"/>
    <w:rsid w:val="00B526A3"/>
    <w:rsid w:val="00B62CB6"/>
    <w:rsid w:val="00B708FB"/>
    <w:rsid w:val="00B75AF4"/>
    <w:rsid w:val="00B84518"/>
    <w:rsid w:val="00B8463A"/>
    <w:rsid w:val="00B85E37"/>
    <w:rsid w:val="00B92AB5"/>
    <w:rsid w:val="00B95777"/>
    <w:rsid w:val="00B95CFE"/>
    <w:rsid w:val="00BA3E31"/>
    <w:rsid w:val="00BB0448"/>
    <w:rsid w:val="00BB6FFC"/>
    <w:rsid w:val="00BC1806"/>
    <w:rsid w:val="00BC566C"/>
    <w:rsid w:val="00BD3587"/>
    <w:rsid w:val="00BD4864"/>
    <w:rsid w:val="00BD4C81"/>
    <w:rsid w:val="00BF2DD1"/>
    <w:rsid w:val="00BF6B8C"/>
    <w:rsid w:val="00C17D80"/>
    <w:rsid w:val="00C23E5C"/>
    <w:rsid w:val="00C37C35"/>
    <w:rsid w:val="00C44BAA"/>
    <w:rsid w:val="00C5695C"/>
    <w:rsid w:val="00C61F69"/>
    <w:rsid w:val="00C64032"/>
    <w:rsid w:val="00C66894"/>
    <w:rsid w:val="00C74144"/>
    <w:rsid w:val="00C84AC2"/>
    <w:rsid w:val="00C87592"/>
    <w:rsid w:val="00C87D33"/>
    <w:rsid w:val="00C87F84"/>
    <w:rsid w:val="00C90223"/>
    <w:rsid w:val="00CA6F38"/>
    <w:rsid w:val="00CC0F3B"/>
    <w:rsid w:val="00CC3062"/>
    <w:rsid w:val="00CC3F0C"/>
    <w:rsid w:val="00CC60AE"/>
    <w:rsid w:val="00CD0CE4"/>
    <w:rsid w:val="00CD4C5A"/>
    <w:rsid w:val="00CE4EA6"/>
    <w:rsid w:val="00CE53FF"/>
    <w:rsid w:val="00CE5B4C"/>
    <w:rsid w:val="00CE67A6"/>
    <w:rsid w:val="00CE72E3"/>
    <w:rsid w:val="00CF2183"/>
    <w:rsid w:val="00D04A62"/>
    <w:rsid w:val="00D05367"/>
    <w:rsid w:val="00D17645"/>
    <w:rsid w:val="00D177CF"/>
    <w:rsid w:val="00D25185"/>
    <w:rsid w:val="00D30ACB"/>
    <w:rsid w:val="00D32EF6"/>
    <w:rsid w:val="00D37875"/>
    <w:rsid w:val="00D37EE3"/>
    <w:rsid w:val="00D400EC"/>
    <w:rsid w:val="00D41B96"/>
    <w:rsid w:val="00D4573C"/>
    <w:rsid w:val="00D471EE"/>
    <w:rsid w:val="00D47701"/>
    <w:rsid w:val="00D52979"/>
    <w:rsid w:val="00D54E15"/>
    <w:rsid w:val="00D56B3F"/>
    <w:rsid w:val="00D56F32"/>
    <w:rsid w:val="00D651FB"/>
    <w:rsid w:val="00D750B0"/>
    <w:rsid w:val="00D7574F"/>
    <w:rsid w:val="00D757DD"/>
    <w:rsid w:val="00D7777F"/>
    <w:rsid w:val="00D80101"/>
    <w:rsid w:val="00D912D9"/>
    <w:rsid w:val="00D9175B"/>
    <w:rsid w:val="00D93138"/>
    <w:rsid w:val="00DB0951"/>
    <w:rsid w:val="00DC27A5"/>
    <w:rsid w:val="00DC27FE"/>
    <w:rsid w:val="00DC29EB"/>
    <w:rsid w:val="00DC2B90"/>
    <w:rsid w:val="00DC61F5"/>
    <w:rsid w:val="00DD71D9"/>
    <w:rsid w:val="00DE1C76"/>
    <w:rsid w:val="00DF3412"/>
    <w:rsid w:val="00DF62BE"/>
    <w:rsid w:val="00E042C3"/>
    <w:rsid w:val="00E13C9A"/>
    <w:rsid w:val="00E20C9B"/>
    <w:rsid w:val="00E236DA"/>
    <w:rsid w:val="00E25062"/>
    <w:rsid w:val="00E31562"/>
    <w:rsid w:val="00E31B13"/>
    <w:rsid w:val="00E43D3D"/>
    <w:rsid w:val="00E4460D"/>
    <w:rsid w:val="00E51C8A"/>
    <w:rsid w:val="00E529D8"/>
    <w:rsid w:val="00E61032"/>
    <w:rsid w:val="00E61731"/>
    <w:rsid w:val="00E65CE6"/>
    <w:rsid w:val="00E67A1D"/>
    <w:rsid w:val="00E72468"/>
    <w:rsid w:val="00E800E4"/>
    <w:rsid w:val="00E85855"/>
    <w:rsid w:val="00E87441"/>
    <w:rsid w:val="00E92B09"/>
    <w:rsid w:val="00E973D5"/>
    <w:rsid w:val="00EA1B47"/>
    <w:rsid w:val="00EA2D9A"/>
    <w:rsid w:val="00EA5666"/>
    <w:rsid w:val="00EC0111"/>
    <w:rsid w:val="00ED7530"/>
    <w:rsid w:val="00ED7E87"/>
    <w:rsid w:val="00EE433B"/>
    <w:rsid w:val="00EE4728"/>
    <w:rsid w:val="00EE47F9"/>
    <w:rsid w:val="00EE537C"/>
    <w:rsid w:val="00EE6326"/>
    <w:rsid w:val="00EF347D"/>
    <w:rsid w:val="00EF6DA9"/>
    <w:rsid w:val="00F00FDA"/>
    <w:rsid w:val="00F04936"/>
    <w:rsid w:val="00F05D51"/>
    <w:rsid w:val="00F07E05"/>
    <w:rsid w:val="00F112E5"/>
    <w:rsid w:val="00F2195A"/>
    <w:rsid w:val="00F260BC"/>
    <w:rsid w:val="00F31DEA"/>
    <w:rsid w:val="00F34B1C"/>
    <w:rsid w:val="00F43152"/>
    <w:rsid w:val="00F508E7"/>
    <w:rsid w:val="00F53435"/>
    <w:rsid w:val="00F562FA"/>
    <w:rsid w:val="00F60EE1"/>
    <w:rsid w:val="00F64F32"/>
    <w:rsid w:val="00F74136"/>
    <w:rsid w:val="00F742CD"/>
    <w:rsid w:val="00F92F7E"/>
    <w:rsid w:val="00F93E47"/>
    <w:rsid w:val="00F94AD5"/>
    <w:rsid w:val="00FA14A1"/>
    <w:rsid w:val="00FA1592"/>
    <w:rsid w:val="00FA5D88"/>
    <w:rsid w:val="00FB459D"/>
    <w:rsid w:val="00FB633F"/>
    <w:rsid w:val="00FC05E5"/>
    <w:rsid w:val="00FF4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9A6A9"/>
  <w15:docId w15:val="{7F407F10-5419-4FBA-84CC-436058962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B459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40E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45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459D"/>
    <w:rPr>
      <w:sz w:val="18"/>
      <w:szCs w:val="18"/>
    </w:rPr>
  </w:style>
  <w:style w:type="paragraph" w:styleId="a5">
    <w:name w:val="footer"/>
    <w:basedOn w:val="a"/>
    <w:link w:val="a6"/>
    <w:uiPriority w:val="99"/>
    <w:unhideWhenUsed/>
    <w:rsid w:val="00FB459D"/>
    <w:pPr>
      <w:tabs>
        <w:tab w:val="center" w:pos="4153"/>
        <w:tab w:val="right" w:pos="8306"/>
      </w:tabs>
      <w:snapToGrid w:val="0"/>
      <w:jc w:val="left"/>
    </w:pPr>
    <w:rPr>
      <w:sz w:val="18"/>
      <w:szCs w:val="18"/>
    </w:rPr>
  </w:style>
  <w:style w:type="character" w:customStyle="1" w:styleId="a6">
    <w:name w:val="页脚 字符"/>
    <w:basedOn w:val="a0"/>
    <w:link w:val="a5"/>
    <w:uiPriority w:val="99"/>
    <w:rsid w:val="00FB459D"/>
    <w:rPr>
      <w:sz w:val="18"/>
      <w:szCs w:val="18"/>
    </w:rPr>
  </w:style>
  <w:style w:type="table" w:styleId="a7">
    <w:name w:val="Table Grid"/>
    <w:basedOn w:val="a1"/>
    <w:qFormat/>
    <w:rsid w:val="00FB459D"/>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网格型1"/>
    <w:basedOn w:val="a1"/>
    <w:next w:val="a7"/>
    <w:qFormat/>
    <w:rsid w:val="00FB459D"/>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FB459D"/>
    <w:rPr>
      <w:b/>
      <w:bCs/>
      <w:kern w:val="44"/>
      <w:sz w:val="44"/>
      <w:szCs w:val="44"/>
    </w:rPr>
  </w:style>
  <w:style w:type="paragraph" w:styleId="a8">
    <w:name w:val="caption"/>
    <w:basedOn w:val="a"/>
    <w:next w:val="a"/>
    <w:qFormat/>
    <w:rsid w:val="00E72468"/>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val="en-GB" w:eastAsia="en-US"/>
    </w:rPr>
  </w:style>
  <w:style w:type="character" w:styleId="a9">
    <w:name w:val="Hyperlink"/>
    <w:basedOn w:val="a0"/>
    <w:uiPriority w:val="99"/>
    <w:unhideWhenUsed/>
    <w:rsid w:val="00C64032"/>
    <w:rPr>
      <w:color w:val="0000FF" w:themeColor="hyperlink"/>
      <w:u w:val="single"/>
    </w:rPr>
  </w:style>
  <w:style w:type="character" w:customStyle="1" w:styleId="20">
    <w:name w:val="标题 2 字符"/>
    <w:basedOn w:val="a0"/>
    <w:link w:val="2"/>
    <w:uiPriority w:val="9"/>
    <w:rsid w:val="00B40E8D"/>
    <w:rPr>
      <w:rFonts w:asciiTheme="majorHAnsi" w:eastAsiaTheme="majorEastAsia" w:hAnsiTheme="majorHAnsi" w:cstheme="majorBidi"/>
      <w:b/>
      <w:bCs/>
      <w:sz w:val="32"/>
      <w:szCs w:val="32"/>
    </w:rPr>
  </w:style>
  <w:style w:type="paragraph" w:customStyle="1" w:styleId="Observation">
    <w:name w:val="Observation"/>
    <w:basedOn w:val="a"/>
    <w:qFormat/>
    <w:rsid w:val="00AF26D2"/>
    <w:pPr>
      <w:numPr>
        <w:numId w:val="2"/>
      </w:numPr>
      <w:tabs>
        <w:tab w:val="left" w:pos="1701"/>
      </w:tabs>
    </w:pPr>
    <w:rPr>
      <w:rFonts w:ascii="Calibri" w:eastAsia="宋体" w:hAnsi="Calibri" w:cs="Times New Roman"/>
      <w:b/>
      <w:bCs/>
    </w:rPr>
  </w:style>
  <w:style w:type="paragraph" w:styleId="aa">
    <w:name w:val="footnote text"/>
    <w:basedOn w:val="a"/>
    <w:link w:val="ab"/>
    <w:uiPriority w:val="99"/>
    <w:semiHidden/>
    <w:unhideWhenUsed/>
    <w:rsid w:val="004353FD"/>
    <w:pPr>
      <w:snapToGrid w:val="0"/>
      <w:jc w:val="left"/>
    </w:pPr>
    <w:rPr>
      <w:sz w:val="18"/>
      <w:szCs w:val="18"/>
    </w:rPr>
  </w:style>
  <w:style w:type="character" w:customStyle="1" w:styleId="ab">
    <w:name w:val="脚注文本 字符"/>
    <w:basedOn w:val="a0"/>
    <w:link w:val="aa"/>
    <w:uiPriority w:val="99"/>
    <w:semiHidden/>
    <w:rsid w:val="004353FD"/>
    <w:rPr>
      <w:sz w:val="18"/>
      <w:szCs w:val="18"/>
    </w:rPr>
  </w:style>
  <w:style w:type="character" w:styleId="ac">
    <w:name w:val="footnote reference"/>
    <w:basedOn w:val="a0"/>
    <w:uiPriority w:val="99"/>
    <w:semiHidden/>
    <w:unhideWhenUsed/>
    <w:rsid w:val="004353FD"/>
    <w:rPr>
      <w:vertAlign w:val="superscript"/>
    </w:rPr>
  </w:style>
  <w:style w:type="paragraph" w:styleId="ad">
    <w:name w:val="List Paragraph"/>
    <w:basedOn w:val="a"/>
    <w:uiPriority w:val="34"/>
    <w:qFormat/>
    <w:rsid w:val="006E0B10"/>
    <w:pPr>
      <w:ind w:firstLineChars="200" w:firstLine="420"/>
    </w:pPr>
  </w:style>
  <w:style w:type="paragraph" w:customStyle="1" w:styleId="Tabletext">
    <w:name w:val="Table_text"/>
    <w:basedOn w:val="a"/>
    <w:link w:val="TabletextChar"/>
    <w:rsid w:val="00AD147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paragraph" w:customStyle="1" w:styleId="Tablehead">
    <w:name w:val="Table_head"/>
    <w:basedOn w:val="a"/>
    <w:link w:val="TableheadChar"/>
    <w:rsid w:val="00AD1473"/>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0"/>
    <w:link w:val="Tablehead"/>
    <w:locked/>
    <w:rsid w:val="00AD1473"/>
    <w:rPr>
      <w:rFonts w:ascii="Times New Roman Bold" w:hAnsi="Times New Roman Bold" w:cs="Times New Roman Bold"/>
      <w:b/>
      <w:kern w:val="0"/>
      <w:sz w:val="20"/>
      <w:szCs w:val="20"/>
      <w:lang w:val="en-GB" w:eastAsia="en-US"/>
    </w:rPr>
  </w:style>
  <w:style w:type="character" w:customStyle="1" w:styleId="TabletextChar">
    <w:name w:val="Table_text Char"/>
    <w:basedOn w:val="a0"/>
    <w:link w:val="Tabletext"/>
    <w:locked/>
    <w:rsid w:val="00AD1473"/>
    <w:rPr>
      <w:rFonts w:ascii="Times New Roman" w:hAnsi="Times New Roman" w:cs="Times New Roman"/>
      <w:kern w:val="0"/>
      <w:sz w:val="20"/>
      <w:szCs w:val="20"/>
      <w:lang w:val="en-GB" w:eastAsia="en-US"/>
    </w:rPr>
  </w:style>
  <w:style w:type="paragraph" w:styleId="ae">
    <w:name w:val="Balloon Text"/>
    <w:basedOn w:val="a"/>
    <w:link w:val="af"/>
    <w:uiPriority w:val="99"/>
    <w:semiHidden/>
    <w:unhideWhenUsed/>
    <w:rsid w:val="00AD1473"/>
    <w:rPr>
      <w:sz w:val="18"/>
      <w:szCs w:val="18"/>
    </w:rPr>
  </w:style>
  <w:style w:type="character" w:customStyle="1" w:styleId="af">
    <w:name w:val="批注框文本 字符"/>
    <w:basedOn w:val="a0"/>
    <w:link w:val="ae"/>
    <w:uiPriority w:val="99"/>
    <w:semiHidden/>
    <w:rsid w:val="00AD1473"/>
    <w:rPr>
      <w:sz w:val="18"/>
      <w:szCs w:val="18"/>
    </w:rPr>
  </w:style>
  <w:style w:type="paragraph" w:customStyle="1" w:styleId="TableNo">
    <w:name w:val="Table_No"/>
    <w:basedOn w:val="a"/>
    <w:next w:val="a"/>
    <w:link w:val="TableNoChar"/>
    <w:rsid w:val="006F0131"/>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link w:val="TabletitleChar"/>
    <w:rsid w:val="006F0131"/>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character" w:customStyle="1" w:styleId="TableNoChar">
    <w:name w:val="Table_No Char"/>
    <w:basedOn w:val="a0"/>
    <w:link w:val="TableNo"/>
    <w:locked/>
    <w:rsid w:val="006F0131"/>
    <w:rPr>
      <w:rFonts w:ascii="Times New Roman" w:hAnsi="Times New Roman" w:cs="Times New Roman"/>
      <w:caps/>
      <w:kern w:val="0"/>
      <w:sz w:val="20"/>
      <w:szCs w:val="20"/>
      <w:lang w:val="en-GB" w:eastAsia="en-US"/>
    </w:rPr>
  </w:style>
  <w:style w:type="character" w:customStyle="1" w:styleId="TabletitleChar">
    <w:name w:val="Table_title Char"/>
    <w:basedOn w:val="a0"/>
    <w:link w:val="Tabletitle"/>
    <w:locked/>
    <w:rsid w:val="006F0131"/>
    <w:rPr>
      <w:rFonts w:ascii="Times New Roman Bold" w:hAnsi="Times New Roman Bold" w:cs="Times New Roman"/>
      <w:b/>
      <w:kern w:val="0"/>
      <w:sz w:val="20"/>
      <w:szCs w:val="20"/>
      <w:lang w:val="en-GB" w:eastAsia="en-US"/>
    </w:rPr>
  </w:style>
  <w:style w:type="paragraph" w:customStyle="1" w:styleId="Tablefin">
    <w:name w:val="Table_fin"/>
    <w:basedOn w:val="a"/>
    <w:rsid w:val="006F0131"/>
    <w:pPr>
      <w:widowControl/>
      <w:tabs>
        <w:tab w:val="left" w:pos="1134"/>
        <w:tab w:val="left" w:pos="1871"/>
        <w:tab w:val="left" w:pos="2268"/>
      </w:tabs>
      <w:overflowPunct w:val="0"/>
      <w:autoSpaceDE w:val="0"/>
      <w:autoSpaceDN w:val="0"/>
      <w:adjustRightInd w:val="0"/>
      <w:jc w:val="left"/>
      <w:textAlignment w:val="baseline"/>
    </w:pPr>
    <w:rPr>
      <w:rFonts w:ascii="Times New Roman" w:hAnsi="Times New Roman" w:cs="Times New Roman"/>
      <w:kern w:val="0"/>
      <w:sz w:val="20"/>
      <w:szCs w:val="20"/>
      <w:lang w:eastAsia="ja-JP"/>
    </w:rPr>
  </w:style>
  <w:style w:type="table" w:styleId="12">
    <w:name w:val="Plain Table 1"/>
    <w:basedOn w:val="a1"/>
    <w:uiPriority w:val="41"/>
    <w:rsid w:val="006F013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styleId="af0">
    <w:name w:val="Grid Table Light"/>
    <w:basedOn w:val="a1"/>
    <w:uiPriority w:val="40"/>
    <w:rsid w:val="006F0131"/>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54256">
      <w:bodyDiv w:val="1"/>
      <w:marLeft w:val="0"/>
      <w:marRight w:val="0"/>
      <w:marTop w:val="0"/>
      <w:marBottom w:val="0"/>
      <w:divBdr>
        <w:top w:val="none" w:sz="0" w:space="0" w:color="auto"/>
        <w:left w:val="none" w:sz="0" w:space="0" w:color="auto"/>
        <w:bottom w:val="none" w:sz="0" w:space="0" w:color="auto"/>
        <w:right w:val="none" w:sz="0" w:space="0" w:color="auto"/>
      </w:divBdr>
    </w:div>
    <w:div w:id="81922106">
      <w:bodyDiv w:val="1"/>
      <w:marLeft w:val="0"/>
      <w:marRight w:val="0"/>
      <w:marTop w:val="0"/>
      <w:marBottom w:val="0"/>
      <w:divBdr>
        <w:top w:val="none" w:sz="0" w:space="0" w:color="auto"/>
        <w:left w:val="none" w:sz="0" w:space="0" w:color="auto"/>
        <w:bottom w:val="none" w:sz="0" w:space="0" w:color="auto"/>
        <w:right w:val="none" w:sz="0" w:space="0" w:color="auto"/>
      </w:divBdr>
    </w:div>
    <w:div w:id="203447641">
      <w:bodyDiv w:val="1"/>
      <w:marLeft w:val="0"/>
      <w:marRight w:val="0"/>
      <w:marTop w:val="0"/>
      <w:marBottom w:val="0"/>
      <w:divBdr>
        <w:top w:val="none" w:sz="0" w:space="0" w:color="auto"/>
        <w:left w:val="none" w:sz="0" w:space="0" w:color="auto"/>
        <w:bottom w:val="none" w:sz="0" w:space="0" w:color="auto"/>
        <w:right w:val="none" w:sz="0" w:space="0" w:color="auto"/>
      </w:divBdr>
    </w:div>
    <w:div w:id="261375475">
      <w:bodyDiv w:val="1"/>
      <w:marLeft w:val="0"/>
      <w:marRight w:val="0"/>
      <w:marTop w:val="0"/>
      <w:marBottom w:val="0"/>
      <w:divBdr>
        <w:top w:val="none" w:sz="0" w:space="0" w:color="auto"/>
        <w:left w:val="none" w:sz="0" w:space="0" w:color="auto"/>
        <w:bottom w:val="none" w:sz="0" w:space="0" w:color="auto"/>
        <w:right w:val="none" w:sz="0" w:space="0" w:color="auto"/>
      </w:divBdr>
    </w:div>
    <w:div w:id="332296808">
      <w:bodyDiv w:val="1"/>
      <w:marLeft w:val="0"/>
      <w:marRight w:val="0"/>
      <w:marTop w:val="0"/>
      <w:marBottom w:val="0"/>
      <w:divBdr>
        <w:top w:val="none" w:sz="0" w:space="0" w:color="auto"/>
        <w:left w:val="none" w:sz="0" w:space="0" w:color="auto"/>
        <w:bottom w:val="none" w:sz="0" w:space="0" w:color="auto"/>
        <w:right w:val="none" w:sz="0" w:space="0" w:color="auto"/>
      </w:divBdr>
    </w:div>
    <w:div w:id="582909276">
      <w:bodyDiv w:val="1"/>
      <w:marLeft w:val="0"/>
      <w:marRight w:val="0"/>
      <w:marTop w:val="0"/>
      <w:marBottom w:val="0"/>
      <w:divBdr>
        <w:top w:val="none" w:sz="0" w:space="0" w:color="auto"/>
        <w:left w:val="none" w:sz="0" w:space="0" w:color="auto"/>
        <w:bottom w:val="none" w:sz="0" w:space="0" w:color="auto"/>
        <w:right w:val="none" w:sz="0" w:space="0" w:color="auto"/>
      </w:divBdr>
    </w:div>
    <w:div w:id="700208164">
      <w:bodyDiv w:val="1"/>
      <w:marLeft w:val="0"/>
      <w:marRight w:val="0"/>
      <w:marTop w:val="0"/>
      <w:marBottom w:val="0"/>
      <w:divBdr>
        <w:top w:val="none" w:sz="0" w:space="0" w:color="auto"/>
        <w:left w:val="none" w:sz="0" w:space="0" w:color="auto"/>
        <w:bottom w:val="none" w:sz="0" w:space="0" w:color="auto"/>
        <w:right w:val="none" w:sz="0" w:space="0" w:color="auto"/>
      </w:divBdr>
    </w:div>
    <w:div w:id="726415905">
      <w:bodyDiv w:val="1"/>
      <w:marLeft w:val="0"/>
      <w:marRight w:val="0"/>
      <w:marTop w:val="0"/>
      <w:marBottom w:val="0"/>
      <w:divBdr>
        <w:top w:val="none" w:sz="0" w:space="0" w:color="auto"/>
        <w:left w:val="none" w:sz="0" w:space="0" w:color="auto"/>
        <w:bottom w:val="none" w:sz="0" w:space="0" w:color="auto"/>
        <w:right w:val="none" w:sz="0" w:space="0" w:color="auto"/>
      </w:divBdr>
    </w:div>
    <w:div w:id="922182574">
      <w:bodyDiv w:val="1"/>
      <w:marLeft w:val="0"/>
      <w:marRight w:val="0"/>
      <w:marTop w:val="0"/>
      <w:marBottom w:val="0"/>
      <w:divBdr>
        <w:top w:val="none" w:sz="0" w:space="0" w:color="auto"/>
        <w:left w:val="none" w:sz="0" w:space="0" w:color="auto"/>
        <w:bottom w:val="none" w:sz="0" w:space="0" w:color="auto"/>
        <w:right w:val="none" w:sz="0" w:space="0" w:color="auto"/>
      </w:divBdr>
    </w:div>
    <w:div w:id="944851279">
      <w:bodyDiv w:val="1"/>
      <w:marLeft w:val="0"/>
      <w:marRight w:val="0"/>
      <w:marTop w:val="0"/>
      <w:marBottom w:val="0"/>
      <w:divBdr>
        <w:top w:val="none" w:sz="0" w:space="0" w:color="auto"/>
        <w:left w:val="none" w:sz="0" w:space="0" w:color="auto"/>
        <w:bottom w:val="none" w:sz="0" w:space="0" w:color="auto"/>
        <w:right w:val="none" w:sz="0" w:space="0" w:color="auto"/>
      </w:divBdr>
    </w:div>
    <w:div w:id="1166632341">
      <w:bodyDiv w:val="1"/>
      <w:marLeft w:val="0"/>
      <w:marRight w:val="0"/>
      <w:marTop w:val="0"/>
      <w:marBottom w:val="0"/>
      <w:divBdr>
        <w:top w:val="none" w:sz="0" w:space="0" w:color="auto"/>
        <w:left w:val="none" w:sz="0" w:space="0" w:color="auto"/>
        <w:bottom w:val="none" w:sz="0" w:space="0" w:color="auto"/>
        <w:right w:val="none" w:sz="0" w:space="0" w:color="auto"/>
      </w:divBdr>
    </w:div>
    <w:div w:id="1255284092">
      <w:bodyDiv w:val="1"/>
      <w:marLeft w:val="0"/>
      <w:marRight w:val="0"/>
      <w:marTop w:val="0"/>
      <w:marBottom w:val="0"/>
      <w:divBdr>
        <w:top w:val="none" w:sz="0" w:space="0" w:color="auto"/>
        <w:left w:val="none" w:sz="0" w:space="0" w:color="auto"/>
        <w:bottom w:val="none" w:sz="0" w:space="0" w:color="auto"/>
        <w:right w:val="none" w:sz="0" w:space="0" w:color="auto"/>
      </w:divBdr>
    </w:div>
    <w:div w:id="1489130538">
      <w:bodyDiv w:val="1"/>
      <w:marLeft w:val="0"/>
      <w:marRight w:val="0"/>
      <w:marTop w:val="0"/>
      <w:marBottom w:val="0"/>
      <w:divBdr>
        <w:top w:val="none" w:sz="0" w:space="0" w:color="auto"/>
        <w:left w:val="none" w:sz="0" w:space="0" w:color="auto"/>
        <w:bottom w:val="none" w:sz="0" w:space="0" w:color="auto"/>
        <w:right w:val="none" w:sz="0" w:space="0" w:color="auto"/>
      </w:divBdr>
    </w:div>
    <w:div w:id="1569922448">
      <w:bodyDiv w:val="1"/>
      <w:marLeft w:val="0"/>
      <w:marRight w:val="0"/>
      <w:marTop w:val="0"/>
      <w:marBottom w:val="0"/>
      <w:divBdr>
        <w:top w:val="none" w:sz="0" w:space="0" w:color="auto"/>
        <w:left w:val="none" w:sz="0" w:space="0" w:color="auto"/>
        <w:bottom w:val="none" w:sz="0" w:space="0" w:color="auto"/>
        <w:right w:val="none" w:sz="0" w:space="0" w:color="auto"/>
      </w:divBdr>
    </w:div>
    <w:div w:id="1620524820">
      <w:bodyDiv w:val="1"/>
      <w:marLeft w:val="0"/>
      <w:marRight w:val="0"/>
      <w:marTop w:val="0"/>
      <w:marBottom w:val="0"/>
      <w:divBdr>
        <w:top w:val="none" w:sz="0" w:space="0" w:color="auto"/>
        <w:left w:val="none" w:sz="0" w:space="0" w:color="auto"/>
        <w:bottom w:val="none" w:sz="0" w:space="0" w:color="auto"/>
        <w:right w:val="none" w:sz="0" w:space="0" w:color="auto"/>
      </w:divBdr>
    </w:div>
    <w:div w:id="1649289217">
      <w:bodyDiv w:val="1"/>
      <w:marLeft w:val="0"/>
      <w:marRight w:val="0"/>
      <w:marTop w:val="0"/>
      <w:marBottom w:val="0"/>
      <w:divBdr>
        <w:top w:val="none" w:sz="0" w:space="0" w:color="auto"/>
        <w:left w:val="none" w:sz="0" w:space="0" w:color="auto"/>
        <w:bottom w:val="none" w:sz="0" w:space="0" w:color="auto"/>
        <w:right w:val="none" w:sz="0" w:space="0" w:color="auto"/>
      </w:divBdr>
    </w:div>
    <w:div w:id="1928928002">
      <w:bodyDiv w:val="1"/>
      <w:marLeft w:val="0"/>
      <w:marRight w:val="0"/>
      <w:marTop w:val="0"/>
      <w:marBottom w:val="0"/>
      <w:divBdr>
        <w:top w:val="none" w:sz="0" w:space="0" w:color="auto"/>
        <w:left w:val="none" w:sz="0" w:space="0" w:color="auto"/>
        <w:bottom w:val="none" w:sz="0" w:space="0" w:color="auto"/>
        <w:right w:val="none" w:sz="0" w:space="0" w:color="auto"/>
      </w:divBdr>
    </w:div>
    <w:div w:id="1953441879">
      <w:bodyDiv w:val="1"/>
      <w:marLeft w:val="0"/>
      <w:marRight w:val="0"/>
      <w:marTop w:val="0"/>
      <w:marBottom w:val="0"/>
      <w:divBdr>
        <w:top w:val="none" w:sz="0" w:space="0" w:color="auto"/>
        <w:left w:val="none" w:sz="0" w:space="0" w:color="auto"/>
        <w:bottom w:val="none" w:sz="0" w:space="0" w:color="auto"/>
        <w:right w:val="none" w:sz="0" w:space="0" w:color="auto"/>
      </w:divBdr>
    </w:div>
    <w:div w:id="2004121653">
      <w:bodyDiv w:val="1"/>
      <w:marLeft w:val="0"/>
      <w:marRight w:val="0"/>
      <w:marTop w:val="0"/>
      <w:marBottom w:val="0"/>
      <w:divBdr>
        <w:top w:val="none" w:sz="0" w:space="0" w:color="auto"/>
        <w:left w:val="none" w:sz="0" w:space="0" w:color="auto"/>
        <w:bottom w:val="none" w:sz="0" w:space="0" w:color="auto"/>
        <w:right w:val="none" w:sz="0" w:space="0" w:color="auto"/>
      </w:divBdr>
    </w:div>
    <w:div w:id="2059623201">
      <w:bodyDiv w:val="1"/>
      <w:marLeft w:val="0"/>
      <w:marRight w:val="0"/>
      <w:marTop w:val="0"/>
      <w:marBottom w:val="0"/>
      <w:divBdr>
        <w:top w:val="none" w:sz="0" w:space="0" w:color="auto"/>
        <w:left w:val="none" w:sz="0" w:space="0" w:color="auto"/>
        <w:bottom w:val="none" w:sz="0" w:space="0" w:color="auto"/>
        <w:right w:val="none" w:sz="0" w:space="0" w:color="auto"/>
      </w:divBdr>
    </w:div>
    <w:div w:id="212017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98147-1CE3-4E2B-BB73-10743710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1372</Words>
  <Characters>7824</Characters>
  <Application>Microsoft Office Word</Application>
  <DocSecurity>0</DocSecurity>
  <Lines>65</Lines>
  <Paragraphs>18</Paragraphs>
  <ScaleCrop>false</ScaleCrop>
  <Company>NEC</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dc:title>
  <dc:creator>Zhaobang Miao</dc:creator>
  <cp:lastModifiedBy>Zhaobang Miao</cp:lastModifiedBy>
  <cp:revision>2</cp:revision>
  <dcterms:created xsi:type="dcterms:W3CDTF">2018-11-01T07:50:00Z</dcterms:created>
  <dcterms:modified xsi:type="dcterms:W3CDTF">2018-11-01T07:50:00Z</dcterms:modified>
</cp:coreProperties>
</file>